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(Shilling, 2012).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capstone establishes that mainstream policy designs fail to account for the physical requirements of biological agency under conditions of extreme environmental trauma (Shilling, 2012).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proves that constitutional justice requires securing basic physiological thresholds before demanding democratic agency.</w:t>
      </w:r>
    </w:p>
    <w:bookmarkEnd w:id="35"/>
    <w:bookmarkEnd w:id="36"/>
    <w:bookmarkStart w:id="40" w:name="findings"/>
    <w:p>
      <w:pPr>
        <w:pStyle w:val="Heading2"/>
      </w:pPr>
      <w:r>
        <w:t xml:space="preserve">4. Findings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End w:id="40"/>
    <w:bookmarkStart w:id="45" w:name="discussion"/>
    <w:p>
      <w:pPr>
        <w:pStyle w:val="Heading2"/>
      </w:pPr>
      <w:r>
        <w:t xml:space="preserve">5. Discussion</w:t>
      </w:r>
    </w:p>
    <w:bookmarkStart w:id="41"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1"/>
    <w:bookmarkStart w:id="42"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2"/>
    <w:bookmarkStart w:id="43"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3"/>
    <w:bookmarkStart w:id="44"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4"/>
    <w:bookmarkEnd w:id="45"/>
    <w:bookmarkStart w:id="48" w:name="conclusion"/>
    <w:p>
      <w:pPr>
        <w:pStyle w:val="Heading2"/>
      </w:pPr>
      <w:r>
        <w:t xml:space="preserve">6. Conclusion</w:t>
      </w:r>
    </w:p>
    <w:bookmarkStart w:id="46"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6"/>
    <w:bookmarkStart w:id="47"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7"/>
    <w:bookmarkEnd w:id="48"/>
    <w:bookmarkStart w:id="52" w:name="declarations"/>
    <w:p>
      <w:pPr>
        <w:pStyle w:val="Heading2"/>
      </w:pPr>
      <w:r>
        <w:t xml:space="preserve">Declarations</w:t>
      </w:r>
    </w:p>
    <w:bookmarkStart w:id="49" w:name="funding"/>
    <w:p>
      <w:pPr>
        <w:pStyle w:val="Heading3"/>
      </w:pPr>
      <w:r>
        <w:t xml:space="preserve">Funding</w:t>
      </w:r>
    </w:p>
    <w:p>
      <w:pPr>
        <w:pStyle w:val="FirstParagraph"/>
      </w:pPr>
      <w:r>
        <w:t xml:space="preserve">This work received no grant from any funding agency in the public, commercial, or not-for-profit sectors.</w:t>
      </w:r>
    </w:p>
    <w:bookmarkEnd w:id="49"/>
    <w:bookmarkStart w:id="50" w:name="disclosure-statement"/>
    <w:p>
      <w:pPr>
        <w:pStyle w:val="Heading3"/>
      </w:pPr>
      <w:r>
        <w:t xml:space="preserve">Disclosure Statement</w:t>
      </w:r>
    </w:p>
    <w:p>
      <w:pPr>
        <w:pStyle w:val="FirstParagraph"/>
      </w:pPr>
      <w:r>
        <w:t xml:space="preserve">No potential conflict of interest was reported by the authors.</w:t>
      </w:r>
    </w:p>
    <w:bookmarkEnd w:id="50"/>
    <w:bookmarkStart w:id="51"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51"/>
    <w:bookmarkEnd w:id="52"/>
    <w:bookmarkStart w:id="53"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Shopworks Architecture. (2024).</w:t>
      </w:r>
      <w:r>
        <w:t xml:space="preserve"> </w:t>
      </w:r>
      <w:r>
        <w:rPr>
          <w:iCs/>
          <w:i/>
        </w:rPr>
        <w:t xml:space="preserve">Trauma-informed design in supportive housing: Physical environments and nervous system regulation</w:t>
      </w:r>
      <w:r>
        <w:t xml:space="preserve">. Shopworks.</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2026-06-15T13:51:02Z</dcterms:created>
  <dcterms:modified xsi:type="dcterms:W3CDTF">2026-06-15T13:51:02Z</dcterms:modified>
</cp:coreProperties>
</file>

<file path=docProps/custom.xml><?xml version="1.0" encoding="utf-8"?>
<Properties xmlns="http://schemas.openxmlformats.org/officeDocument/2006/custom-properties" xmlns:vt="http://schemas.openxmlformats.org/officeDocument/2006/docPropsVTypes"/>
</file>