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the-moral-physics-of-survival"/>
    <w:p>
      <w:pPr>
        <w:pStyle w:val="Heading1"/>
      </w:pPr>
      <w:r>
        <w:t xml:space="preserve">The Moral Physics of Survival</w:t>
      </w:r>
    </w:p>
    <w:bookmarkStart w:id="20" w:name="X0b54f3374d5f063f91eb0bd68181952f22581fa"/>
    <w:p>
      <w:pPr>
        <w:pStyle w:val="Heading2"/>
      </w:pPr>
      <w:r>
        <w:t xml:space="preserve">Thermodynamic Precarity, Cognitive Agency, and the Ethics of Compelled Stabilization</w:t>
      </w:r>
    </w:p>
    <w:p>
      <w:pPr>
        <w:pStyle w:val="FirstParagraph"/>
      </w:pPr>
      <w:r>
        <w:rPr>
          <w:bCs/>
          <w:b/>
        </w:rPr>
        <w:t xml:space="preserve">Author:</w:t>
      </w:r>
      <w:r>
        <w:t xml:space="preserve"> Charles J. DiBella</w:t>
        <w:br/>
      </w:r>
      <w:r>
        <w:rPr>
          <w:bCs/>
          <w:b/>
        </w:rPr>
        <w:t xml:space="preserve">Affiliation:</w:t>
      </w:r>
      <w:r>
        <w:t xml:space="preserve"> Independent Scholar</w:t>
        <w:br/>
      </w:r>
      <w:r>
        <w:rPr>
          <w:bCs/>
          <w:b/>
        </w:rPr>
        <w:t xml:space="preserve">Contact:</w:t>
      </w:r>
      <w:r>
        <w:t xml:space="preserve"> bikepaths@duck.com</w:t>
      </w:r>
    </w:p>
    <w:bookmarkEnd w:id="20"/>
    <w:bookmarkStart w:id="21" w:name="abstract"/>
    <w:p>
      <w:pPr>
        <w:pStyle w:val="Heading2"/>
      </w:pPr>
      <w:r>
        <w:t xml:space="preserve">Abstract</w:t>
      </w:r>
    </w:p>
    <w:p>
      <w:pPr>
        <w:pStyle w:val="FirstParagraph"/>
      </w:pPr>
      <w:r>
        <w:t xml:space="preserve">Modern municipal policy responses to chronic unsheltered homelessness remain constrained by sociological models and administrative case management (Tsemberis et al., 2004). To address extreme precarity, this conceptual paper proposes a normative theoretical framework for a mechanical, systems-based public utility model. Dismantling prefrontal cortex function, street exposure, chronic sleep deprivation, and environmental trauma invalidate the standard political assumption of rational choice (Westbrook &amp; Robinson, 2021). Universal dignity rests on human nature rather than performance or functional capacity (Maritain, 1951). Under this construct, building a secular natural law structure based on biological survival needs establishes the moral legitimacy of compelled clinical care in clinical-housing environments (Gowan, 2010). Bridging the gap between physical engineering, public policy, and moral law, this normative model argues that mainstream policy designs fail to account for the physical requirements of biological agency under conditions of extreme environmental trauma (McEwen, 2017). Subsequent psychological and economic recovery must be built on the foundation of immediate biological stabilization (Westbrook &amp; Robinson, 2021).</w:t>
      </w:r>
    </w:p>
    <w:p>
      <w:pPr>
        <w:pStyle w:val="BodyText"/>
      </w:pPr>
      <w:r>
        <w:t xml:space="preserve">Keywords: chronic homelessness, moral physics, cognitive agency, survival infrastructure, public utility, compelled care</w:t>
      </w:r>
    </w:p>
    <w:bookmarkEnd w:id="21"/>
    <w:bookmarkStart w:id="26" w:name="introduction"/>
    <w:p>
      <w:pPr>
        <w:pStyle w:val="Heading2"/>
      </w:pPr>
      <w:r>
        <w:t xml:space="preserve">1. Introduction</w:t>
      </w:r>
    </w:p>
    <w:bookmarkStart w:id="22" w:name="X706a5a4408592049878b5012d0f05a0c050e17c"/>
    <w:p>
      <w:pPr>
        <w:pStyle w:val="BodyText"/>
      </w:pPr>
      <w:r>
        <w:rPr>
          <w:b/>
          <w:bCs/>
        </w:rPr>
        <w:t xml:space="preserve">Research Question.</w:t>
      </w:r>
      <w:r>
        <w:t xml:space="preserve"> This paper addresses the following governing question: Can a secular natural law framework grounded in biological survival needs establish sufficient moral legitimacy for compelled clinical stabilization as a prerequisite for cognitive agency restoration—and if so, what engineering specifications are required to operationalize that obligation as a municipal public utility? The paper argues that existing policy frameworks fail because they treat cognitive agency as a precondition for service eligibility rather than as the outcome that stabilization is designed to restore. The four sections that follow develop the theoretical foundation, the biological evidence base, the ethical legitimacy argument, and the infrastructure specification required to answer this question affirmatively.</w:t>
      </w:r>
    </w:p>
    <w:p>
      <w:pPr>
        <w:pStyle w:val="Heading3"/>
      </w:pPr>
      <w:r>
        <w:t xml:space="preserve">1.1 Historical Evolution of Homelessness Interventions</w:t>
      </w:r>
    </w:p>
    <w:p>
      <w:pPr>
        <w:pStyle w:val="FirstParagraph"/>
      </w:pPr>
      <w:r>
        <w:t xml:space="preserve">Traditional public policy interventions target behavioral modifications, social integration, and administrative case management (Gowan, 2010; Tsemberis et al., 2004). Because these interventions assume intact cognitive agency among chronically unsheltered individuals, they systematically fail to address the core physiological drivers of street-level collapse (Westbrook &amp; Robinson, 2021). Chronic homelessness is not primarily a sociological or behavioral deviation. Instead, this paper treats the crisis as a mechanical infrastructure failure requiring structural, engineering-based remedies.</w:t>
      </w:r>
    </w:p>
    <w:p>
      <w:pPr>
        <w:pStyle w:val="BodyText"/>
      </w:pPr>
      <w:r>
        <w:t xml:space="preserve">Historically, municipal responses to extreme destitution in Western cities have transitioned through several distinct policy phases. In the early nineteenth century, cities relied on institutional confinement, poorhouses, and vagrancy laws to manage visible poverty. These early measures targeted the moral character of the individual, assuming that poverty resulted from personal laziness or moral decay. Following the deindustrialization of the late twentieth century, cities experienced a dramatic increase in unsheltered populations, leading to the creation of emergency shelter networks. These shelters provided temporary nightly refuge but demanded immediate compliance with behavior rules, forcing clients to navigate complex service systems during the day.</w:t>
      </w:r>
    </w:p>
    <w:p>
      <w:pPr>
        <w:pStyle w:val="BodyText"/>
      </w:pPr>
      <w:r>
        <w:t xml:space="preserve">During the mid-twentieth century, the deinstitutionalization movement closed state psychiatric hospitals without building the community-based mental health systems promised by reformers. This policy failure shifted thousands of individuals with psychiatric conditions from clinical environments into the urban margins. Municipalities responded by expanding police enforcement and vagrancy sweeps, criminalizing the survival activities of the displaced. The emergency shelter systems established in the 1980s functioned as temporary holding centers, offering nightly beds on a conditional basis. These shelters enforced curfews, prohibited possessions, and demanded participation in administrative programs, placing significant cognitive demands on traumatized individuals.</w:t>
      </w:r>
    </w:p>
    <w:p>
      <w:pPr>
        <w:pStyle w:val="BodyText"/>
      </w:pPr>
      <w:r>
        <w:t xml:space="preserve">In the early 2000s, the emergence of the Housing First model shifted municipal approaches by prioritizing immediate access to permanent housing. This approach recognized that individuals cannot successfully engage in psychiatric treatment or substance abuse recovery while living on the street. Despite its success in improving housing retention rates, Housing First remains constrained by its administrative structure. It relies on a limited supply of scattered-site apartments and intensive case management, leaving a large portion of the most vulnerable population on the street.</w:t>
      </w:r>
    </w:p>
    <w:bookmarkEnd w:id="22"/>
    <w:bookmarkStart w:id="23" w:name="the-failure-of-behavioral-models"/>
    <w:p>
      <w:pPr>
        <w:pStyle w:val="Heading3"/>
      </w:pPr>
      <w:r>
        <w:t xml:space="preserve">1.2 The Failure of Behavioral Models</w:t>
      </w:r>
    </w:p>
    <w:p>
      <w:pPr>
        <w:pStyle w:val="FirstParagraph"/>
      </w:pPr>
      <w:r>
        <w:t xml:space="preserve">Existing intervention models continue to operate under behavioral models that assume individuals possess intact cognitive capacity. Social service agencies require clients to attend appointments, submit drug tests, and submit documentation to qualify for assistance. For an individual experiencing chronic street exposure, these administrative requirements represent an insuperable cognitive barrier. The threat of violence, extreme weather, and nutritional deprivation prevents the planning required to navigate municipal bureaucracies.</w:t>
      </w:r>
    </w:p>
    <w:p>
      <w:pPr>
        <w:pStyle w:val="BodyText"/>
      </w:pPr>
      <w:r>
        <w:t xml:space="preserve">Cognitive overload theory explains how poverty and precarity drain executive functioning capacity. When an individual must focus on finding food, avoiding physical assault, and finding temporary dry shelter, the brain’s cognitive bandwidth is consumed. Executive cognitive processes, including working memory, impulse inhibition, and prospective planning, undergo degradation. Expecting individuals under these conditions to maintain calendar appointments, preserve identification documents, and navigate complex social service portals is unreasonable.</w:t>
      </w:r>
    </w:p>
    <w:p>
      <w:pPr>
        <w:pStyle w:val="BodyText"/>
      </w:pPr>
      <w:r>
        <w:t xml:space="preserve">By demanding behavioral compliance before securing safety, current policies create a structural bottleneck. Clients who fail to meet programmatic milestones are labeled non-compliant and excluded from services, reinforcing their precarity. This exclusion is not a failure of individual will. Instead, it is the predictable result of a system that expects executive cognitive functioning from individuals whose brains adapt to extreme environmental trauma.</w:t>
      </w:r>
    </w:p>
    <w:p>
      <w:pPr>
        <w:pStyle w:val="BodyText"/>
      </w:pPr>
      <w:r>
        <w:t xml:space="preserve">Behavioral models fail to address the immediate physical environment of the street. Providing case management without altering the material conditions of survival is ineffective. An individual who returns to a concrete sidewalk after a meeting with a caseworker remains exposed to the same environmental stressors that accelerate physical and neurological decay. To break this cycle, public policy must shift its focus from modifying human behavior to engineering the physical environment.</w:t>
      </w:r>
    </w:p>
    <w:bookmarkEnd w:id="23"/>
    <w:bookmarkStart w:id="24" w:name="metabolic-stabilization-as-phase-zero"/>
    <w:p>
      <w:pPr>
        <w:pStyle w:val="Heading3"/>
      </w:pPr>
      <w:r>
        <w:t xml:space="preserve">1.3 Metabolic Stabilization as Phase Zero</w:t>
      </w:r>
    </w:p>
    <w:p>
      <w:pPr>
        <w:pStyle w:val="FirstParagraph"/>
      </w:pPr>
      <w:r>
        <w:t xml:space="preserve">To establish a more effective intervention construct, we propose a biological model that treats physiological stabilization as the non-negotiable foundation of recovery. We designate this initial intervention Phase Zero, or Metabolic Stabilization. Before introducing social, psychological, or legal services, the municipal infrastructure must obtain the material requirements of the human body. This stabilization requires immediate, universal access to climate-controlled shelter, nutritional input, hygiene facilities, and protected sleep environments.</w:t>
      </w:r>
    </w:p>
    <w:p>
      <w:pPr>
        <w:pStyle w:val="BodyText"/>
      </w:pPr>
      <w:r>
        <w:t xml:space="preserve">We argue that the human body operates as a thermodynamic system that must maintain homeostasis to support cognitive function. When the environment prevents the maintenance of homeostasis, the body’s internal resources are diverted to survival. Cognitive agency is not a static property of the soul or the intellect. Instead, it is a biological capacity that requires continuous metabolic support. Protecting this metabolic foundation is the primary technical requirement of urban design.</w:t>
      </w:r>
    </w:p>
    <w:p>
      <w:pPr>
        <w:pStyle w:val="BodyText"/>
      </w:pPr>
      <w:r>
        <w:t xml:space="preserve">By implementing Material Dignity Infrastructure, or MDI, as a localized public infrastructure utility, municipal governments can establish a predictable, non-negotiable baseline of physical safety that stops progressive physical decay and neurological decline. This stabilization allows the central nervous system to transition from chronic hypervigilance to a state of recovery. Only when the brain is freed from the immediate demands of metabolic survival can the individual engage with higher-level psychological and social interventions.</w:t>
      </w:r>
    </w:p>
    <w:bookmarkEnd w:id="24"/>
    <w:bookmarkStart w:id="25" w:name="the-persistence-of-the-institutional-gap"/>
    <w:p>
      <w:pPr>
        <w:pStyle w:val="Heading3"/>
      </w:pPr>
      <w:r>
        <w:t xml:space="preserve">1.4 The Persistence of the Institutional Gap</w:t>
      </w:r>
    </w:p>
    <w:p>
      <w:pPr>
        <w:pStyle w:val="FirstParagraph"/>
      </w:pPr>
      <w:r>
        <w:t xml:space="preserve">A profound disconnect persists between neurobiological insights and mainstream public policy design. While academic research confirms the cognitive degradation caused by chronic environmental trauma, municipal structures continue to operate on assumptions of intact rational choice. This institutional gap in 2026 is maintained by structural forces. First, institutional structures move slower than theoretical developments; municipal budgets, legislation, and administrative protocols are built on policy structures inherited from the late twentieth century. Second, the assumption of rational choice is embedded in the administrative architecture of modern systems, which require complex applications, compliance milestones, and court appearances that assume intact executive functioning. Third, knowledge does not transfer automatically across distinct disciplines; findings in neurobiology journals rarely integrate into city council policy documents. Acknowledging that individuals cannot exercise rational choice without biological stabilization challenges prevailing political narratives of personal responsibility.</w:t>
      </w:r>
    </w:p>
    <w:p>
      <w:pPr>
        <w:pStyle w:val="BodyText"/>
      </w:pPr>
      <w:r>
        <w:t xml:space="preserve">This policy gap is a matter of life and death for vulnerable populations. Unsheltered individuals experiencing chronic homelessness die decades earlier than housed populations. Environmental exposure, untreated infections, violence, and overdose are consequences of a policy design that demands cognitive capacities that the street environment destroys. This paper builds upon previous conceptual work by Tsemberis, Gowan, and others, formalizing these insights into a unified architecture that connects biological survival, physical engineering, and moral philosophy.</w:t>
      </w:r>
    </w:p>
    <w:bookmarkEnd w:id="25"/>
    <w:bookmarkEnd w:id="26"/>
    <w:bookmarkStart w:id="30" w:name="literature-review"/>
    <w:p>
      <w:pPr>
        <w:pStyle w:val="Heading2"/>
      </w:pPr>
      <w:r>
        <w:t xml:space="preserve">2. Literature Review</w:t>
      </w:r>
    </w:p>
    <w:bookmarkStart w:id="27" w:name="neurobiology-of-street-trauma"/>
    <w:p>
      <w:pPr>
        <w:pStyle w:val="Heading3"/>
      </w:pPr>
      <w:r>
        <w:t xml:space="preserve">2.1 Neurobiology of Street Trauma</w:t>
      </w:r>
    </w:p>
    <w:p>
      <w:pPr>
        <w:pStyle w:val="FirstParagraph"/>
      </w:pPr>
      <w:r>
        <w:t xml:space="preserve">The human body requires physical conditions to maintain functional homeostasis and executive cognitive capacity. Through prolonged exposure to extreme environments, combined with persistent sleep deprivation, street precarity triggers chronic neurobiological stress. These stressors saturate neural tissue with cortisol, eventually dismantling prefrontal cortex function. Under these physiological conditions, the standard economic and political assumption of rational choice ceases to operate. When cognitive agency collapses beneath a biological floor, expecting individuals to navigate complex bureaucratic housing queues is unreasonable (Tsemberis et al., 2004; Westbrook &amp; Robinson, 2021).</w:t>
      </w:r>
    </w:p>
    <w:p>
      <w:pPr>
        <w:pStyle w:val="BodyText"/>
      </w:pPr>
      <w:r>
        <w:t xml:space="preserve">Neurobiological research details the precise mechanisms by which environmental trauma alters brain architecture. Chronic stress activates the hypothalamic-pituitary-adrenal axis, triggering a sustained release of glucocorticoids (McEwen, 2017). Sustained high concentrations of cortisol are associated with neurotoxic effects, particularly in the prefrontal cortex and the hippocampus (Sapolsky, 2004). In the prefrontal cortex, chronic cortisol exposure frequently correlates with dendrite retraction and loss of dendritic spines, reducing the brain’s capacity for working memory, executive planning, and impulse regulation (Arnsten, 2009).</w:t>
      </w:r>
    </w:p>
    <w:p>
      <w:pPr>
        <w:pStyle w:val="BodyText"/>
      </w:pPr>
      <w:r>
        <w:t xml:space="preserve">Simultaneously, the hippocampus experiences a reduction in neurogenesis, impairing spatial memory and emotional regulation. This combination of neurological changes leaves the individual unable to process complex information, evaluate long-term risks, or manage emotional responses. The brain enters a survival mode characterized by reactive, short-term decision-making. This neurobiological adaptation is functional for surviving immediate threats on the street, but it prevents the individual from navigating the administrative requirements of civil society.</w:t>
      </w:r>
    </w:p>
    <w:p>
      <w:pPr>
        <w:pStyle w:val="BodyText"/>
      </w:pPr>
      <w:r>
        <w:t xml:space="preserve">Degradation of the dorsolateral prefrontal cortex, or dlPFC, impairs the capacity for abstract reasoning and future-oriented planning. The ventromedial prefrontal cortex, or vmPFC, which regulates the amygdala, undergoes structural atrophy, leading to emotional dysregulation and heightened anxiety. This biological condition makes it impossible to maintain the cognitive control required for standard decision-making models.</w:t>
      </w:r>
    </w:p>
    <w:bookmarkEnd w:id="27"/>
    <w:bookmarkStart w:id="28" w:name="Xf565cafabea81c9e96b2499ce2c2cfbd5022dcd"/>
    <w:p>
      <w:pPr>
        <w:pStyle w:val="Heading3"/>
      </w:pPr>
      <w:r>
        <w:t xml:space="preserve">2.2 Spatial Exclusion and Environmental Hostility</w:t>
      </w:r>
    </w:p>
    <w:p>
      <w:pPr>
        <w:pStyle w:val="FirstParagraph"/>
      </w:pPr>
      <w:r>
        <w:t xml:space="preserve">Critical geographers have documented how modern cities use hostile architecture and spatial exclusion to manage unsheltered populations (Mitchell, 1997). Benches with center armrests, spiked concrete underpasses, and gated public parks are designed to prevent unsheltered individuals from resting or sleeping in public view. While these measures succeed in displacing visible poverty, they accelerate the physical decay of the displaced population.</w:t>
      </w:r>
    </w:p>
    <w:p>
      <w:pPr>
        <w:pStyle w:val="BodyText"/>
      </w:pPr>
      <w:r>
        <w:t xml:space="preserve">By removing opportunities for rest, hostile design increases the physical demands of street survival. Individuals must walk longer distances to find temporary shelter, increasing their metabolic expenditure. The continuous search for protected space increases exposure to extreme temperatures and precipitation, accelerating physical decline. Hostile architecture is not an aesthetic choice. It is a spatial intervention that harms the biological integrity of vulnerable populations.</w:t>
      </w:r>
    </w:p>
    <w:p>
      <w:pPr>
        <w:pStyle w:val="BodyText"/>
      </w:pPr>
      <w:r>
        <w:t xml:space="preserve">Spatial exclusion fragments social support networks and disrupts access to basic survival resources. When cities sweep encampments and displace individuals, they disconnect them from medical care, food distribution, and case management. This recurring displacement maintains a state of chronic instability, preventing the establishment of the stability required for neurological recovery. The lack of clean water and sanitation access increases the prevalence of skin infections, vector-borne illnesses, and respiratory diseases, further straining the immune system.</w:t>
      </w:r>
    </w:p>
    <w:bookmarkEnd w:id="28"/>
    <w:bookmarkStart w:id="29" w:name="X83c0b0a43e772395516685a18bebe9a147401ed"/>
    <w:p>
      <w:pPr>
        <w:pStyle w:val="Heading3"/>
      </w:pPr>
      <w:r>
        <w:t xml:space="preserve">2.3 Case Management and Institutional Attrition</w:t>
      </w:r>
    </w:p>
    <w:p>
      <w:pPr>
        <w:pStyle w:val="FirstParagraph"/>
      </w:pPr>
      <w:r>
        <w:t xml:space="preserve">Sociological studies of the social service system highlight the limits of voluntary case management in addressing chronic homelessness (Gowan, 2010). Case management models rely on the client’s ability to maintain appointments, follow instructions, and trust institutional representatives. For individuals experiencing chronic precarity, these requirements are often unmet.</w:t>
      </w:r>
    </w:p>
    <w:p>
      <w:pPr>
        <w:pStyle w:val="BodyText"/>
      </w:pPr>
      <w:r>
        <w:t xml:space="preserve">The neurobiological damage caused by street trauma makes it difficult for clients to manage schedule demands. Missed appointments and lost documents are frequently interpreted by caseworkers as a lack of motivation or non-compliance. This friction leads to high rates of institutional attrition, where clients drop out of service pipelines and return to the street. The system, designed to assist, becomes a source of administrative frustration.</w:t>
      </w:r>
    </w:p>
    <w:p>
      <w:pPr>
        <w:pStyle w:val="BodyText"/>
      </w:pPr>
      <w:r>
        <w:t xml:space="preserve">Distrust of social services is often a rational survival strategy. Chronically unsheltered individuals have frequently experienced institutional trauma, including forced displacement, arrest, and conditional support that is suddenly withdrawn. Without a stable physical baseline, clients cannot build the trust required to engage in long-term therapeutic relationships. The continuous friction between clients and providers leads to a systemic rejection of municipal services, reinforcing street-level exclusion.</w:t>
      </w:r>
    </w:p>
    <w:bookmarkEnd w:id="29"/>
    <w:bookmarkEnd w:id="30"/>
    <w:bookmarkStart w:id="36" w:name="conceptual-framework"/>
    <w:p>
      <w:pPr>
        <w:pStyle w:val="Heading2"/>
      </w:pPr>
      <w:r>
        <w:t xml:space="preserve">3. Conceptual Framework</w:t>
      </w:r>
    </w:p>
    <w:bookmarkStart w:id="31" w:name="Xea888c6f43c1d240f70c40a348ada2d9ebf5b60"/>
    <w:p>
      <w:pPr>
        <w:pStyle w:val="Heading3"/>
      </w:pPr>
      <w:r>
        <w:t xml:space="preserve">3.1 Human Agency as Thermodynamic Homeostasis</w:t>
      </w:r>
    </w:p>
    <w:p>
      <w:pPr>
        <w:pStyle w:val="FirstParagraph"/>
      </w:pPr>
      <w:r>
        <w:t xml:space="preserve">Evaluating human dignity requires constructing a secular, empirical ethical construct rooted in biological survival needs. Rather than linking dignity to performance, functional capacity, or social utility, this model anchors moral status in human nature itself (Maritain, 1951). This grounding establishes objective material standards for public policy (Gowan, 2010). To prevent systemic abandonment, municipalities must prioritize immediate physiological stabilization by providing access to temperature regulation, protected sleep, and sanitation.</w:t>
      </w:r>
    </w:p>
    <w:p>
      <w:pPr>
        <w:pStyle w:val="BodyText"/>
      </w:pPr>
      <w:r>
        <w:t xml:space="preserve">Our conceptual framework utilizes thermodynamics as an analogical heuristic rather than a formal mathematical model. By treating human agency as a thermodynamic property, this heuristic illustrates how a human being operates as an open system that must continuously import negative entropy in the form of food, water, and shelter to counteract the natural progression toward entropy and decay. When the environment prevents the acquisition of these resources, the system degrades.</w:t>
      </w:r>
    </w:p>
    <w:p>
      <w:pPr>
        <w:pStyle w:val="BodyText"/>
      </w:pPr>
      <w:r>
        <w:t xml:space="preserve">To maintain the physical structure of the brain and body, the organism requires a stable environment. Extreme temperatures force the body to divert metabolic energy to thermoregulation, reducing the energy available for cognitive processes. Chronic sleep deprivation prevents the brain from clearing metabolic waste, leading to cognitive impairment. The Moral Physics of Survival models these environmental interactions mathematically, establishing the minimum material inputs required to maintain human agency.</w:t>
      </w:r>
    </w:p>
    <w:p>
      <w:pPr>
        <w:pStyle w:val="BodyText"/>
      </w:pPr>
      <w:r>
        <w:t xml:space="preserve">As an analogical framework drawn from thermodynamics, the body can be understood as performing continuous work to maintain its internal boundary conditions against external fluctuations. Under street conditions, the rate of biological entropy production—metabolic disorder, tissue breakdown, and immune degradation—exceeds the system’s capacity for recovery and self-repair. This disorganization manifests measurably as physical tissue decay and cognitive impairment. The thermodynamic language here is heuristic rather than literal: it provides a precise vocabulary for processes that biology and neuroscience confirm independently through direct measurement.</w:t>
      </w:r>
    </w:p>
    <w:p>
      <w:pPr>
        <w:pStyle w:val="BodyText"/>
      </w:pPr>
      <w:r>
        <w:t xml:space="preserve">Our ethical structure is derived from the physical requirement to arrest this entropic slide. Because biological life is the necessary substrate for all moral and political action, the laws governing biological persistence—thermodynamic maintenance—generate a foundational tier of moral obligation. If a society claims to value human life, it is logically compelled to provide the material conditions required to sustain it. Entropy, therefore, is not merely a physical process but a normative boundary: crossing the homeostatic threshold destroys the individual’s capacity to participate in the moral community.</w:t>
      </w:r>
    </w:p>
    <w:p>
      <w:pPr>
        <w:pStyle w:val="BodyText"/>
      </w:pPr>
      <w:r>
        <w:t xml:space="preserve">In thermodynamic terms, equilibrium represents death for a biological organism: life is maintained only by sustaining a non-equilibrium steady state requiring continuous free energy input and efficient waste expulsion. As a biological analogy, this framing illuminates how the street environment systematically interrupts the metabolic inputs—calories, temperature regulation, protected sleep—required to maintain that steady state. The result, confirmed by the clinical neuroscience literature (McEwen, 2017; Arnsten, 2009; Sapolsky, 2004), is progressive and measurable physical and cognitive deterioration. The thermodynamic framework organizes these empirical findings into a unified model; the biological evidence stands independently of the analogy.</w:t>
      </w:r>
    </w:p>
    <w:bookmarkEnd w:id="31"/>
    <w:bookmarkStart w:id="32" w:name="hierarchy-of-biological-survival-needs"/>
    <w:p>
      <w:pPr>
        <w:pStyle w:val="Heading3"/>
      </w:pPr>
      <w:r>
        <w:t xml:space="preserve">3.2 Hierarchy of Biological Survival Needs</w:t>
      </w:r>
    </w:p>
    <w:p>
      <w:pPr>
        <w:pStyle w:val="FirstParagraph"/>
      </w:pPr>
      <w:r>
        <w:t xml:space="preserve">We construct a hierarchical model of human rights based on biological urgency. At the base of this hierarchy are the physical necessities of life, including temperature regulation, hydration, nutrition, and protected sleep. Higher-level civil and political rights, such as the right to vote or the right to free speech, occupy the upper levels of the hierarchy.</w:t>
      </w:r>
    </w:p>
    <w:p>
      <w:pPr>
        <w:pStyle w:val="BodyText"/>
      </w:pPr>
      <w:r>
        <w:t xml:space="preserve">We argue that higher-level rights are contingent upon the fulfillment of lower-level biological needs. A citizen who is freezing to death on a sidewalk cannot exercise political liberty. Civil rights assume the existence of a functioning biological agent. When public policy prioritizes civil rights over biological stabilization, it commits a category error. The municipal order must guarantee the physical foundation of life before it can expect the exercise of civic freedom.</w:t>
      </w:r>
    </w:p>
    <w:p>
      <w:pPr>
        <w:pStyle w:val="BodyText"/>
      </w:pPr>
      <w:r>
        <w:t xml:space="preserve">This hierarchy provides a clear guide for public expenditure. Municipalities must prioritize the funding of survival infrastructure over cultural or aesthetic projects. The preservation of human life is the baseline of municipal legitimacy.</w:t>
      </w:r>
    </w:p>
    <w:p>
      <w:pPr>
        <w:pStyle w:val="BodyText"/>
      </w:pPr>
      <w:r>
        <w:t xml:space="preserve">By establishing this hierarchy, we replace subjective compassion with objective biological metrics. We define the baseline of human dignity not by the absence of state interference, but by the presence of the physical resources necessary to maintain biological agency. This shift establishes a measurable standard for municipal accountability.</w:t>
      </w:r>
    </w:p>
    <w:bookmarkEnd w:id="32"/>
    <w:bookmarkStart w:id="33" w:name="secular-natural-law-and-empirical-ethics"/>
    <w:p>
      <w:pPr>
        <w:pStyle w:val="Heading3"/>
      </w:pPr>
      <w:r>
        <w:t xml:space="preserve">3.3 Secular Natural Law and Empirical Ethics</w:t>
      </w:r>
    </w:p>
    <w:p>
      <w:pPr>
        <w:pStyle w:val="FirstParagraph"/>
      </w:pPr>
      <w:r>
        <w:t xml:space="preserve">We ground our ethical approach in a secular interpretation of natural law. Classical natural law theory argues that moral rules are derived from human nature and the requirements of human flourishing. We translate this concept into empirical terms; the moral obligations of the state are derived from the biological requirements of the human organism.</w:t>
      </w:r>
    </w:p>
    <w:p>
      <w:pPr>
        <w:pStyle w:val="BodyText"/>
      </w:pPr>
      <w:r>
        <w:t xml:space="preserve">Rather than relying on subjective compassion or variable political will, our empirical ethics establishes objective standards for public policy. We can measure the calorie needs, sleep requirements, and temperature tolerances of the human body. These biological measurements define the state’s obligations. A government that fails to provide the infrastructure necessary to meet these standards is in violation of natural law.</w:t>
      </w:r>
    </w:p>
    <w:p>
      <w:pPr>
        <w:pStyle w:val="BodyText"/>
      </w:pPr>
      <w:r>
        <w:t xml:space="preserve">This empirical grounding removes policy discussions from the realm of ideological debate. The provision of shelter and sanitation is not a charitable choice; it is a technical necessity. By establishing these objective standards, we provide a structured method for holding municipal governments accountable for the death and decay of unsheltered citizens.</w:t>
      </w:r>
    </w:p>
    <w:p>
      <w:pPr>
        <w:pStyle w:val="BodyText"/>
      </w:pPr>
      <w:r>
        <w:t xml:space="preserve">This secular natural law model challenges the liberal assumption that the state has no positive obligation to guarantee survival. We argue that the state’s legitimacy is derived from its capacity to protect the biological integrity of its citizens. A state that permits systemic abandonment fails in its primary purpose, losing its moral authority to govern.</w:t>
      </w:r>
    </w:p>
    <w:p>
      <w:pPr>
        <w:pStyle w:val="BodyText"/>
      </w:pPr>
      <w:r>
        <w:t xml:space="preserve">Historically, natural law has been used to justify property rights and individual contracts. We invert this tradition, arguing that natural law establishes the primacy of the biological floor over property claims. If the state’s legal system permits the accumulation of property to the point where citizens are deprived of the physical space necessary to survive, the legal system itself is unjust. Natural law establishes a higher authority that invalidates laws protecting property at the expense of human life.</w:t>
      </w:r>
    </w:p>
    <w:bookmarkEnd w:id="33"/>
    <w:bookmarkStart w:id="34" w:name="quantifying-the-biological-floor"/>
    <w:p>
      <w:pPr>
        <w:pStyle w:val="Heading3"/>
      </w:pPr>
      <w:r>
        <w:t xml:space="preserve">3.4 Quantifying the Biological Floor</w:t>
      </w:r>
    </w:p>
    <w:p>
      <w:pPr>
        <w:pStyle w:val="FirstParagraph"/>
      </w:pPr>
      <w:r>
        <w:t xml:space="preserve">To operationalize secular natural law within a public utility framework, we must establish quantitative biological metrics for the survival floor. While individual requirements vary by age, sex, body size, and climate, clinical physiology provides median reference ranges for the human homeostatic envelope. As a baseline municipal standard, thermoregulation generally requires an ambient temperature range between 65 and 75 degrees Fahrenheit to minimize the metabolic work of shivering or sweating. The median adult body requires approximately 2.5 liters of clean water and 2200 kilocalories of nutritionally balanced inputs daily to maintain cellular function and prevent cachexia.</w:t>
      </w:r>
    </w:p>
    <w:p>
      <w:pPr>
        <w:pStyle w:val="BodyText"/>
      </w:pPr>
      <w:r>
        <w:t xml:space="preserve">Similarly, median neurological recovery requires a baseline of six to eight hours of continuous, low-decibel, dark sleep (Walker, 2017). Without these core inputs, the body’s internal homeostasis collapses, triggering the neurobiological stress cascade described in literature. MDI specifications must be derived from these median metabolic reference ranges. By defining these parameters systematically, this framework proposes a measurable baseline that removes municipal obligations from the realm of subjective political negotiation and grounds them in the objective constraints of human physiology and cellular survival.</w:t>
      </w:r>
    </w:p>
    <w:bookmarkEnd w:id="34"/>
    <w:bookmarkStart w:id="35" w:name="X0830eff780d096d9c172d11e7706a21ead0bb0d"/>
    <w:p>
      <w:pPr>
        <w:pStyle w:val="Heading3"/>
      </w:pPr>
      <w:r>
        <w:t xml:space="preserve">3.5 The Capability Approach and Sequential Resolution</w:t>
      </w:r>
    </w:p>
    <w:p>
      <w:pPr>
        <w:pStyle w:val="FirstParagraph"/>
      </w:pPr>
      <w:r>
        <w:t xml:space="preserve">The proposed model operationalizes Amartya Sen’s Capability Approach and Martha Nussbaum’s human rights list. Sen argues that well-being depends on real freedom to achieve functionings, which requires internal and external conversion factors (Sen, 1999). Chronic street survival degrades a person’s internal cognitive conversion capacity, making it impossible to utilize standard housing resources (Batterham, 2020).</w:t>
      </w:r>
    </w:p>
    <w:p>
      <w:pPr>
        <w:pStyle w:val="BodyText"/>
      </w:pPr>
      <w:r>
        <w:t xml:space="preserve">Nussbaum argues that societies must guarantee basic physical thresholds, defined as Life, Bodily Health, and Bodily Integrity, as a prerequisite for human dignity (Nussbaum, 2011). The MDI model resolves the debate between Nussbaum’s universal list and Sen’s democratic agency by structuring them into a chronological sequence (Crocker, 2008). Phase Zero functions as the Nussbaum Phase, enforcing biological stability and physical safety through clinical environment design. Once biological baselines are restored, the individual transitions to a self-governed Dunbar Pod, the Sen Phase, regaining agency and participating in pod councils. This sequential resolution argues that constitutional justice requires securing basic physiological thresholds before demanding democratic agency.</w:t>
      </w:r>
    </w:p>
    <w:bookmarkEnd w:id="35"/>
    <w:bookmarkEnd w:id="36"/>
    <w:bookmarkStart w:id="41" w:name="theoretical-implications"/>
    <w:p>
      <w:pPr>
        <w:pStyle w:val="Heading2"/>
      </w:pPr>
      <w:r>
        <w:t xml:space="preserve">4. Theoretical Implications</w:t>
      </w:r>
    </w:p>
    <w:bookmarkStart w:id="37" w:name="X4c2f8908871593b43471e946523418e3125eefe"/>
    <w:p>
      <w:pPr>
        <w:pStyle w:val="Heading3"/>
      </w:pPr>
      <w:r>
        <w:t xml:space="preserve">4.1 The Cognitive Assumption of the Social Contract</w:t>
      </w:r>
    </w:p>
    <w:p>
      <w:pPr>
        <w:pStyle w:val="FirstParagraph"/>
      </w:pPr>
      <w:r>
        <w:t xml:space="preserve">Modern political philosophy assumes that participants in the social contract possess intact cognitive agency (Maritain, 1951). By ignoring the physical requirements of biological survival, this assumption remains flawed. Mainstream policy structures operate on assumptions of intact cognitive agency that contradict what neuroscience confirms about trauma-affected people. Before expecting individuals to fulfill civic responsibilities, civil society must guarantee the material conditions that support biological agency. Failing to provide these survival spaces violates the premise of the social contract.</w:t>
      </w:r>
    </w:p>
    <w:p>
      <w:pPr>
        <w:pStyle w:val="BodyText"/>
      </w:pPr>
      <w:r>
        <w:t xml:space="preserve">Classical social contract theorists, including Hobbes, Locke, and Rawls, build their theories on the assumption of rational, autonomous actors. They assume that individuals possess the cognitive capacity to evaluate options, make agreements, and comply with laws. They do not consider how extreme precarity destroys these capacities. When a state permits its most vulnerable citizens to exist in conditions that degrade their prefrontal cortex function, it violates the contract.</w:t>
      </w:r>
    </w:p>
    <w:p>
      <w:pPr>
        <w:pStyle w:val="BodyText"/>
      </w:pPr>
      <w:r>
        <w:t xml:space="preserve">The social contract is a reciprocal agreement; citizens accept laws and responsibilities in exchange for protection and stability. When the state fails to protect the biological integrity of its citizens, the contract is broken. The unsheltered individual, left to decay in public space, is effectively returned to a state of nature where survival is the only law. Under these conditions, the state lacks the moral authority to demand civic compliance or enforce laws against survival activities.</w:t>
      </w:r>
    </w:p>
    <w:p>
      <w:pPr>
        <w:pStyle w:val="BodyText"/>
      </w:pPr>
      <w:r>
        <w:t xml:space="preserve">This philosophical gap has significant legal implications. If the social contract is broken by the state’s failure to guarantee survival conditions, then the state cannot ethically enforce laws criminalizing homeless survival behaviors. Laws prohibiting sleeping in public or camping on public land are invalid because they penalize individuals for actions necessary to avoid death in the absence of state-provided alternatives.</w:t>
      </w:r>
    </w:p>
    <w:bookmarkEnd w:id="37"/>
    <w:bookmarkStart w:id="38" w:name="X41f8b43d992cef51a1272bb18416a059b8573f8"/>
    <w:p>
      <w:pPr>
        <w:pStyle w:val="Heading3"/>
      </w:pPr>
      <w:r>
        <w:t xml:space="preserve">4.2 The Ethical Legitimacy of Compelled Clinical Care</w:t>
      </w:r>
    </w:p>
    <w:p>
      <w:pPr>
        <w:pStyle w:val="FirstParagraph"/>
      </w:pPr>
      <w:r>
        <w:t xml:space="preserve">When street exposure destroys cognitive agency, municipal abandonment disguised as personal liberty is ethically indefensible (Westbrook &amp; Robinson, 2021). Removing individuals from self-destructive precarity becomes a moral necessity (Gowan, 2010). For individuals unable to protect themselves, protective clinical-housing environments provide the only ethical solution. This compelled intervention satisfies the civic hierarchy of obligation, placing the survival of the most vulnerable at the summit of civic responsibility.</w:t>
      </w:r>
    </w:p>
    <w:p>
      <w:pPr>
        <w:pStyle w:val="BodyText"/>
      </w:pPr>
      <w:r>
        <w:t xml:space="preserve">We argue that the state has a positive obligation to intervene when a citizen’s capacity for self-determination has collapsed. Leaving a neurologically degraded individual on the street is not a respect for their freedom; it is a failure of care. Compelled clinical care is ethically justified because it aims to restore the cognitive agency that has been destroyed by environmental trauma.</w:t>
      </w:r>
    </w:p>
    <w:p>
      <w:pPr>
        <w:pStyle w:val="BodyText"/>
      </w:pPr>
      <w:r>
        <w:t xml:space="preserve">This compelled intervention must be governed by defined clinical standards to prevent abuse. It is not a punitive measure, but a therapeutic stabilization. The goal is to provide a protected, structured environment where the body and brain can heal. Once cognitive capacity is restored, the individual can regain their autonomy and make self-governed choices about their future.</w:t>
      </w:r>
    </w:p>
    <w:p>
      <w:pPr>
        <w:pStyle w:val="BodyText"/>
      </w:pPr>
      <w:r>
        <w:t xml:space="preserve">We distinguish this clinical compulsion from institutionalization models of the past. The intervention must be localized, transparent, and focused on biological and cognitive recovery. The legal authority for compulsion must be derived from the concept of protective guardianship, where the state acts to preserve the patient’s long-term capacity for autonomy.</w:t>
      </w:r>
    </w:p>
    <w:p>
      <w:pPr>
        <w:pStyle w:val="BodyText"/>
      </w:pPr>
      <w:r>
        <w:t xml:space="preserve">To maintain compliance with human rights standards, the compulsion process must include regular judicial review and clear clinical markers for discharge. The state must bear the burden of proof, demonstrating that the individual remains incapable of self-preservation due to documented cognitive impairment. This legal structure protects individual liberty while verifying that the obligation to care is fulfilled.</w:t>
      </w:r>
    </w:p>
    <w:p>
      <w:pPr>
        <w:pStyle w:val="BodyText"/>
      </w:pPr>
      <w:r>
        <w:t xml:space="preserve">The legal architecture for this intervention is not hypothetical. California has already enacted three instruments that operationalize compelled stabilization within defined constitutional limits: the Community Assistance, Recovery and Empowerment (CARE) Act (2023), which establishes a civil court pathway requiring a treatment plan rather than incarceration; Laura’s Law (AB 1421), which authorizes Assisted Outpatient Treatment for individuals who meet defined criteria of prior hospitalization and demonstrated danger; and the Lanterman-Petris-Short Act (LPS), which governs involuntary psychiatric holds under independent judicial oversight. The MDI framework does not create new coercive authority. It provides the destination—the clinical-housing environment—that these existing legal instruments currently lack. Compulsion without a therapeutic destination is abandonment by another name. These three instruments, operating in parallel with voluntary Pipelines A and B, constitute the complete legal architecture of the compelled pathway. Any extension of MDI to additional jurisdictions must be predicated on equivalent legal safeguards.</w:t>
      </w:r>
    </w:p>
    <w:bookmarkEnd w:id="38"/>
    <w:bookmarkStart w:id="39" w:name="the-civic-hierarchy-of-obligation"/>
    <w:p>
      <w:pPr>
        <w:pStyle w:val="Heading3"/>
      </w:pPr>
      <w:r>
        <w:t xml:space="preserve">4.3 The Civic Hierarchy of Obligation</w:t>
      </w:r>
    </w:p>
    <w:p>
      <w:pPr>
        <w:pStyle w:val="FirstParagraph"/>
      </w:pPr>
      <w:r>
        <w:t xml:space="preserve">We propose a civic hierarchy of obligation that prioritizes the preservation of life and agency above all other municipal duties. The primary function of government is to maintain the conditions necessary for human survival. This duty takes precedence over local zoning laws, property values, and aesthetic preferences.</w:t>
      </w:r>
    </w:p>
    <w:p>
      <w:pPr>
        <w:pStyle w:val="BodyText"/>
      </w:pPr>
      <w:r>
        <w:t xml:space="preserve">Municipalities frequently prioritize the concerns of housed residents and business owners over the survival needs of the unsheltered. This bias is evident in sweeps that destroy encampments without providing alternative shelter. Under the civic hierarchy of obligation, this ordering is invalid. The survival of vulnerable citizens must occupy the highest position in municipal decision-making.</w:t>
      </w:r>
    </w:p>
    <w:p>
      <w:pPr>
        <w:pStyle w:val="BodyText"/>
      </w:pPr>
      <w:r>
        <w:t xml:space="preserve">By establishing this hierarchy, we provide a legal and ethical basis for prioritizing the construction of MDI. Local governments cannot claim lack of funds or zoning restrictions as excuses for failing to provide shelter. If a city has the resources to build parks, roads, and sports arenas, it has the resources to construct the infrastructure of survival.</w:t>
      </w:r>
    </w:p>
    <w:p>
      <w:pPr>
        <w:pStyle w:val="BodyText"/>
      </w:pPr>
      <w:r>
        <w:t xml:space="preserve">This hierarchy also demands that public spaces be designed to support survival rather than displace it. Hostile design must be replaced with supportive design, so that public infrastructure is configured to meet the biological needs of all citizens.</w:t>
      </w:r>
    </w:p>
    <w:bookmarkEnd w:id="39"/>
    <w:bookmarkStart w:id="40" w:name="Xc712383bc45e1f97b238d33b20edee20f9940fc"/>
    <w:p>
      <w:pPr>
        <w:pStyle w:val="Heading3"/>
      </w:pPr>
      <w:r>
        <w:t xml:space="preserve">4.4 Risks of Coercive Intervention and Institutional Abuse</w:t>
      </w:r>
    </w:p>
    <w:p>
      <w:pPr>
        <w:pStyle w:val="FirstParagraph"/>
      </w:pPr>
      <w:r>
        <w:t xml:space="preserve">The proposal for compelled clinical stabilization carries significant ethical risks and historical precedent for abuse. Critics from disability rights and civil liberties frameworks correctly argue that institutionalization has historically been deployed as a mechanism of social control rather than clinical care. The mid-twentieth century psychiatric hospital system demonstrated how isolated, closed facilities often result in severe human rights violations, prioritizing societal convenience over patient recovery.</w:t>
      </w:r>
    </w:p>
    <w:p>
      <w:pPr>
        <w:pStyle w:val="BodyText"/>
      </w:pPr>
      <w:r>
        <w:t xml:space="preserve">Any model of compelled stabilization must address these legitimate structural risks. Without robust, transparent safeguards, Material Dignity Infrastructure could devolve into a modern iteration of the carceral state. To mitigate these risks, compelled care must be strictly decoupled from the criminal justice system and governed by independent medical oversight.</w:t>
      </w:r>
    </w:p>
    <w:p>
      <w:pPr>
        <w:pStyle w:val="BodyText"/>
      </w:pPr>
      <w:r>
        <w:t xml:space="preserve">Under the least-restrictive-alternative doctrine, involuntary stabilization is legally permissible only when all voluntary community-based options have been exhausted and the individual faces imminent biological collapse (Appelbaum, 1994). Guardianship laws must be restructured to function as temporary, specific delegations of medical authority rather than permanent removals of civil rights (Szasz, 1960; Roth, 2001). Disability rights advocates correctly caution that forced care frequently conflates psychiatric variance with physical danger; therefore, confinement must be strictly limited to the duration required to restore biological and cognitive baselines, subject to automatic, recurring judicial review. While the ethical risks of compulsion are severe, they must be weighed against the ongoing, fatal reality of systemic abandonment on the street. A rigorous ethical framework does not ignore the dangers of intervention; it structures the intervention to maximize agency restoration while legally constraining state power.</w:t>
      </w:r>
    </w:p>
    <w:p>
      <w:pPr>
        <w:pStyle w:val="BodyText"/>
      </w:pPr>
      <w:r>
        <w:rPr>
          <w:b/>
          <w:bCs/>
        </w:rPr>
        <w:t xml:space="preserve">Note on Natural Law Engagement.</w:t>
      </w:r>
      <w:r>
        <w:t xml:space="preserve"> This paper grounds its natural law argument primarily in Maritain (1951). Submission to philosophy journals will require expanded engagement with the natural law tradition, including Finnis (1980), whose identification of basic goods as self-evident practical principles bears directly on the biological floor argument in Section 3.4; Fuller (1964), whose inner morality of law framework supports the procedural safeguards in Section 4.2; and Hart (1961), whose minimum content of natural law argument provides the closest analogue in the Anglo-American tradition to the biological survival threshold proposed here. These engagements are not required for policy or social science journal submission but are essential for credibility in legal philosophy venues.</w:t>
      </w:r>
    </w:p>
    <w:bookmarkEnd w:id="40"/>
    <w:bookmarkEnd w:id="41"/>
    <w:bookmarkStart w:id="46" w:name="X9fd7afb1ec787d4c9f8c93f8a2faba2af18ba38"/>
    <w:p>
      <w:pPr>
        <w:pStyle w:val="Heading2"/>
      </w:pPr>
      <w:r>
        <w:t xml:space="preserve">5. Discussion: From Normative Theory to Physical Infrastructure</w:t>
      </w:r>
    </w:p>
    <w:p>
      <w:pPr>
        <w:pStyle w:val="FirstParagraph"/>
      </w:pPr>
      <w:r>
        <w:t xml:space="preserve">Translating this normative ethical framework into public policy requires specifying the material infrastructure necessary to meet these biological baselines. If the state accepts the moral obligation to guarantee biological stabilization, it must codify that obligation into engineering specifications.</w:t>
      </w:r>
    </w:p>
    <w:bookmarkStart w:id="42" w:name="Xfc6e5ab2a0ae45f514075fdaf0be295d10234a6"/>
    <w:p>
      <w:pPr>
        <w:pStyle w:val="Heading3"/>
      </w:pPr>
      <w:r>
        <w:t xml:space="preserve">5.1 Mechanical Engineering of Sanitation Pods</w:t>
      </w:r>
    </w:p>
    <w:p>
      <w:pPr>
        <w:pStyle w:val="FirstParagraph"/>
      </w:pPr>
      <w:r>
        <w:t xml:space="preserve">To operationalize biological stabilization, municipalities must deploy standardized, self-sustaining sanitation pods and Vertically Integrated Stabilization Towers. Operating these installations as permanent public utilities bypasses bureaucratic housing queues (DeVerteuil, 2015). At the point of street contact, universal access to hygiene facilities, sleeping modules, and clinical decompression spaces stabilizes individuals. This infrastructure reduces emergency healthcare expenditures and halts progressive physical decay.</w:t>
      </w:r>
    </w:p>
    <w:p>
      <w:pPr>
        <w:pStyle w:val="BodyText"/>
      </w:pPr>
      <w:r>
        <w:t xml:space="preserve">Sanitation pods must be engineered to withstand intense use while maintaining hygiene standards. These modular units must employ durable materials, such as stainless steel and impact-resistant plastics, to prevent vandalism and wear. Each pod must contain a self-cleaning toilet and shower system that operates automatically after each use, reducing the need for manual maintenance.</w:t>
      </w:r>
    </w:p>
    <w:p>
      <w:pPr>
        <w:pStyle w:val="BodyText"/>
      </w:pPr>
      <w:r>
        <w:t xml:space="preserve">To maintain environmental sustainability and scalability, the pods must be self-sustaining. They must incorporate solar panels for power, graywater recycling systems to reduce water consumption, and automated waste processing units. By operating independently of the municipal grid, these pods can be deployed rapidly in areas with high unsheltered populations, bypassing the need for extensive utility connections.</w:t>
      </w:r>
    </w:p>
    <w:p>
      <w:pPr>
        <w:pStyle w:val="BodyText"/>
      </w:pPr>
      <w:r>
        <w:t xml:space="preserve">The structural frame of each pod must be constructed of structural steel, hot-dip galvanized to prevent corrosion. The electrical systems must be powered by a rooftop solar array, coupled with a high-capacity lithium iron phosphate battery bank to guarantee continuous operation during periods of low sunlight. Heating and ventilation must maintain a stable indoor temperature, protecting users from extreme heat and freezing temperatures.</w:t>
      </w:r>
    </w:p>
    <w:p>
      <w:pPr>
        <w:pStyle w:val="BodyText"/>
      </w:pPr>
      <w:r>
        <w:t xml:space="preserve">The concrete slab foundation for each pod must be engineered for seismic stability and rapid deployment. It must include pre-cast utility channels that interface with municipal main lines when available, or support self-contained storage tanks when grid access is absent. The structural frame must withstand a wind load of 120 miles per hour in compliance with ASCE 7-22 structural standards (ASCE, 2022), protecting occupants during severe weather events.</w:t>
      </w:r>
    </w:p>
    <w:bookmarkEnd w:id="42"/>
    <w:bookmarkStart w:id="43" w:name="Xe5ff830a7200d4fbf3c613417e13cfee7c2f9f6"/>
    <w:p>
      <w:pPr>
        <w:pStyle w:val="Heading3"/>
      </w:pPr>
      <w:r>
        <w:t xml:space="preserve">5.2 Structural Design of Vertically Integrated Stabilization Towers</w:t>
      </w:r>
    </w:p>
    <w:p>
      <w:pPr>
        <w:pStyle w:val="FirstParagraph"/>
      </w:pPr>
      <w:r>
        <w:t xml:space="preserve">The Vertically Integrated Stabilization Towers are designed to provide an integrated, clinical-housing environment for immediate stabilization. These structures must use vertical design to minimize their spatial footprint in dense urban areas, allowing them to be located near existing support services.</w:t>
      </w:r>
    </w:p>
    <w:p>
      <w:pPr>
        <w:pStyle w:val="BodyText"/>
      </w:pPr>
      <w:r>
        <w:t xml:space="preserve">The interior design must focus on stress reduction and sleep restoration. The sleeping modules must be acoustically isolated and climate-controlled, employing circadian lighting systems to regulate sleep-wake cycles. The common areas must be designed to reduce sensory overload, incorporating neutral colors, natural materials, and layout structures that provide privacy.</w:t>
      </w:r>
    </w:p>
    <w:p>
      <w:pPr>
        <w:pStyle w:val="BodyText"/>
      </w:pPr>
      <w:r>
        <w:t xml:space="preserve">Clinical services must be integrated into the physical structure of the tower. Medical exam rooms, psychiatric evaluation spaces, and nutritional support facilities must be located on the lower floors. This integration allows residents to access care without leaving their stable housing environment. The tower operates as a clinical facility, functioning as a physical extension of the healthcare system.</w:t>
      </w:r>
    </w:p>
    <w:p>
      <w:pPr>
        <w:pStyle w:val="BodyText"/>
      </w:pPr>
      <w:r>
        <w:t xml:space="preserve">The acoustic design must target a maximum ambient noise level of 35 decibels in sleeping areas, employing double-wall construction and acoustic dampening panels to isolate occupants from urban noise. The ventilation system must incorporate high-efficiency particulate air, or HEPA, filtration and provide a minimum of ten outdoor air changes per hour in accordance with ASHRAE Standard 62.1 (ASHRAE, 2019), maintaining high air quality to prevent the spread of airborne pathogens.</w:t>
      </w:r>
    </w:p>
    <w:p>
      <w:pPr>
        <w:pStyle w:val="BodyText"/>
      </w:pPr>
      <w:r>
        <w:t xml:space="preserve">To maintain protection without relying on traditional police presence, the towers must incorporate automated entry vestibules and biometric verification systems. These systems verify the identity of residents and manage access to clinical areas without requiring invasive security personnel. The security design must emphasize architectural solutions, such as clear sightlines and controlled access points, to create a protected environment for both staff and residents.</w:t>
      </w:r>
    </w:p>
    <w:bookmarkEnd w:id="43"/>
    <w:bookmarkStart w:id="44" w:name="X526f7f2c0239ecba7bd68a89b12318e046d2ff3"/>
    <w:p>
      <w:pPr>
        <w:pStyle w:val="Heading3"/>
      </w:pPr>
      <w:r>
        <w:t xml:space="preserve">5.3 Projected Theoretical Efficiencies and Public Finance</w:t>
      </w:r>
    </w:p>
    <w:p>
      <w:pPr>
        <w:pStyle w:val="FirstParagraph"/>
      </w:pPr>
      <w:r>
        <w:t xml:space="preserve">Implementing MDI requires significant capital investment. While formal empirical cost-benefit analyses remain outstanding, the framework projects high theoretical efficiencies over time. Currently, municipalities spend vast sums on emergency room visits, ambulance runs, police responses, and court appearances to manage unsheltered homelessness. These reactive measures represent a massive financial drain that fails to address the underlying problem.</w:t>
      </w:r>
    </w:p>
    <w:p>
      <w:pPr>
        <w:pStyle w:val="BodyText"/>
      </w:pPr>
      <w:r>
        <w:t xml:space="preserve">By providing immediate physical stabilization, MDI theoretically prevents the acute medical crises that lead to emergency room visits. Standardized sanitation reduces the vectors for infectious diseases, and protected sleep environments decrease the incidence of assault and physical trauma, projecting long-term reductions in municipal service loads.</w:t>
      </w:r>
    </w:p>
    <w:p>
      <w:pPr>
        <w:pStyle w:val="BodyText"/>
      </w:pPr>
      <w:r>
        <w:t xml:space="preserve">Stabilizing the unsheltered population allows municipal police and emergency medical services to redirect their resources to other areas. MDI converts a chaotic public safety crisis into a manageable, engineering-based public utility, improving the efficiency of municipal administration.</w:t>
      </w:r>
    </w:p>
    <w:p>
      <w:pPr>
        <w:pStyle w:val="BodyText"/>
      </w:pPr>
      <w:r>
        <w:t xml:space="preserve">The capitalization of MDI can be financed through municipal social impact bonds, where the returns to investors are paid from the documented savings in emergency services and public healthcare budgets. This financing mechanism allows cities to deploy stabilization infrastructure without immediate increases in local tax rates, creating a sustainable model for public utility expansion.</w:t>
      </w:r>
    </w:p>
    <w:p>
      <w:pPr>
        <w:pStyle w:val="BodyText"/>
      </w:pPr>
      <w:r>
        <w:t xml:space="preserve">To implement this model, municipalities must establish partnerships with private healthcare networks. These networks, which bear the financial burden of uncompensated emergency care, have an incentive to fund stabilization infrastructure. By contributing to the capital cost of the stabilization towers, private hospitals can reduce their own emergency department expenditures, creating a mutually beneficial funding structure.</w:t>
      </w:r>
    </w:p>
    <w:bookmarkEnd w:id="44"/>
    <w:bookmarkStart w:id="45" w:name="comparative-system-analysis"/>
    <w:p>
      <w:pPr>
        <w:pStyle w:val="Heading3"/>
      </w:pPr>
      <w:r>
        <w:t xml:space="preserve">5.4 Comparative System Analysis</w:t>
      </w:r>
    </w:p>
    <w:p>
      <w:pPr>
        <w:pStyle w:val="FirstParagraph"/>
      </w:pPr>
      <w:r>
        <w:t xml:space="preserve">Evaluating alternative infrastructure models across speed, cost, regulatory feasibility, and long-term stability demonstrates the systemic necessity of integrated MDI. Alternative frameworks include Autonomous Mobile Fleet Deployment (AMFD), Tax-Credit Decentralized Micro-Zoning (TDMZ), Universal Infrastructure Vouchers (UBIV), and standalone Automated Office-to-Pod Conversion (AOPC).</w:t>
      </w:r>
    </w:p>
    <w:p>
      <w:pPr>
        <w:pStyle w:val="BodyText"/>
      </w:pPr>
      <w:r>
        <w:t xml:space="preserve">Standalone AOPC rapidly retrofits commercial towers but fails because it lacks the Phase Zero metabolic stabilization layer, placing traumatized brains into independent apartments without addressing their damaged biology. AMFD provides rapid deployment through heavy-duty industrial vehicles but faces high municipal opposition and fails to provide long-term residential stability. TDMZ encounters local zoning battles and lacks the clinical concentration needed for medical delivery. Integrated MDI remains the only structurally complete solution because it synchronizes physical skyscraper conversions with biological triage and localized pod governance, succeeding where partial infrastructure models fail.</w:t>
      </w:r>
    </w:p>
    <w:bookmarkEnd w:id="45"/>
    <w:bookmarkEnd w:id="46"/>
    <w:bookmarkStart w:id="57" w:name="Xa30a2fe7a1d6246103c5fdeb305b8920b271ff7"/>
    <w:p>
      <w:pPr>
        <w:pStyle w:val="Heading2"/>
      </w:pPr>
      <w:r>
        <w:t xml:space="preserve">6. Anticipated Objections to the MDI Structure</w:t>
      </w:r>
    </w:p>
    <w:p>
      <w:pPr>
        <w:pStyle w:val="FirstParagraph"/>
      </w:pPr>
      <w:r>
        <w:t xml:space="preserve">Every objection cataloged below shares a single root error: the assumption that individuals below the thermodynamic survival threshold retain intact cognitive agency. When chronic HPA-axis overactivation has degraded prefrontal cortex function to the point of biological collapse, the capacity to exercise liberty, consent, privacy, or economic choice ceases to exist as a neurological fact. Each fallacy below derives from this false premise.</w:t>
      </w:r>
    </w:p>
    <w:bookmarkStart w:id="47" w:name="the-technocratic-authoritarian-fallacy"/>
    <w:p>
      <w:pPr>
        <w:pStyle w:val="Heading3"/>
      </w:pPr>
      <w:r>
        <w:t xml:space="preserve">6.1 The Technocratic Authoritarian Fallacy</w:t>
      </w:r>
    </w:p>
    <w:p>
      <w:pPr>
        <w:pStyle w:val="FirstParagraph"/>
      </w:pPr>
      <w:r>
        <w:rPr>
          <w:bCs/>
          <w:b/>
        </w:rPr>
        <w:t xml:space="preserve">Objection</w:t>
      </w:r>
      <w:r>
        <w:t xml:space="preserve">: MDI represents an expansion of the carceral state, using medicalized infrastructure to enforce universal social control and strip individuals of civil liberties through compelled care.</w:t>
      </w:r>
    </w:p>
    <w:p>
      <w:pPr>
        <w:pStyle w:val="BodyText"/>
      </w:pPr>
      <w:r>
        <w:rPr>
          <w:bCs/>
          <w:b/>
        </w:rPr>
        <w:t xml:space="preserve">Error Vector</w:t>
      </w:r>
      <w:r>
        <w:t xml:space="preserve">: </w:t>
      </w:r>
      <w:r>
        <w:rPr>
          <w:iCs/>
          <w:i/>
        </w:rPr>
        <w:t xml:space="preserve">Blurring Cohorts and Misapplying Liberty</w:t>
      </w:r>
      <w:r>
        <w:t xml:space="preserve"> This objection ignores the boundary condition of the MDI structure: compulsion applies only when biological and cognitive agency collapses below the objective thermodynamic survival threshold. It conflates individuals suffering from temporary economic displacement with those experiencing chronic physiological collapse. By assuming intact cognitive agency where neurobiological degradation (e.g., cortisol toxicity, executive dysfunction) has occurred, this critique prioritizes the theoretical aesthetic of negative liberty over the physical reality of biological survival. Compelled extraction under conservatorship operates as a medical instrument under the Lanterman-Petris-Short Act, not a police action; secular natural law (Maritain, 1951) and the Capability Approach (Sen, 1999; Nussbaum, 2011) both ground the state’s positive obligation to preserve the biological basis of personhood.</w:t>
      </w:r>
    </w:p>
    <w:bookmarkEnd w:id="47"/>
    <w:bookmarkStart w:id="48" w:name="the-housing-reductionist-fallacy"/>
    <w:p>
      <w:pPr>
        <w:pStyle w:val="Heading3"/>
      </w:pPr>
      <w:r>
        <w:t xml:space="preserve">6.2 The Housing-Reductionist Fallacy</w:t>
      </w:r>
    </w:p>
    <w:p>
      <w:pPr>
        <w:pStyle w:val="FirstParagraph"/>
      </w:pPr>
      <w:r>
        <w:rPr>
          <w:bCs/>
          <w:b/>
        </w:rPr>
        <w:t xml:space="preserve">Objection</w:t>
      </w:r>
      <w:r>
        <w:t xml:space="preserve">: The crisis requires permanent residential apartments (Housing First), not medicalized, clinical-housing infrastructure or stabilization towers.</w:t>
      </w:r>
    </w:p>
    <w:p>
      <w:pPr>
        <w:pStyle w:val="BodyText"/>
      </w:pPr>
      <w:r>
        <w:rPr>
          <w:bCs/>
          <w:b/>
        </w:rPr>
        <w:t xml:space="preserve">Error Vector</w:t>
      </w:r>
      <w:r>
        <w:t xml:space="preserve">: </w:t>
      </w:r>
      <w:r>
        <w:rPr>
          <w:iCs/>
          <w:i/>
        </w:rPr>
        <w:t xml:space="preserve">Misapplying Interventions</w:t>
      </w:r>
      <w:r>
        <w:t xml:space="preserve"> This objection applies unstructured independent housing to a neurobiological emergency. Placing a traumatized, sleep-deprived brain suffering from profound HPA-axis dysregulation into an isolated apartment without immediate, managed metabolic stabilization bypasses the required Phase Zero triage. The housing-reductionist fallacy incorrectly assumes that physical shelter automatically restores dismantled prefrontal cortex function.</w:t>
      </w:r>
    </w:p>
    <w:bookmarkEnd w:id="48"/>
    <w:bookmarkStart w:id="49" w:name="the-monolithic-cohort-fallacy"/>
    <w:p>
      <w:pPr>
        <w:pStyle w:val="Heading3"/>
      </w:pPr>
      <w:r>
        <w:t xml:space="preserve">6.3 The Monolithic Cohort Fallacy</w:t>
      </w:r>
    </w:p>
    <w:p>
      <w:pPr>
        <w:pStyle w:val="FirstParagraph"/>
      </w:pPr>
      <w:r>
        <w:rPr>
          <w:bCs/>
          <w:b/>
        </w:rPr>
        <w:t xml:space="preserve">Objection</w:t>
      </w:r>
      <w:r>
        <w:t>: MDI restricts the agency of the “homeless population” and subjects them to excessive structural regulation.</w:t>
      </w:r>
    </w:p>
    <w:p>
      <w:pPr>
        <w:pStyle w:val="BodyText"/>
      </w:pPr>
      <w:r>
        <w:rPr>
          <w:bCs/>
          <w:b/>
        </w:rPr>
        <w:t xml:space="preserve">Error Vector</w:t>
      </w:r>
      <w:r>
        <w:t xml:space="preserve">: </w:t>
      </w:r>
      <w:r>
        <w:rPr>
          <w:iCs/>
          <w:i/>
        </w:rPr>
        <w:t xml:space="preserve">Failing to Segment Cohorts</w:t>
      </w:r>
      <w:r>
        <w:t xml:space="preserve"> This objection fails to segment the demographic. “Homelessness” is an administrative category, not a monolithic physiological state. MDI targets the subset of the population undergoing chronic physiological decay and thermodynamic collapse in public space. Applying the stabilization requirements of this cohort to the entire unhoused demographic represents an analytical failure.</w:t>
      </w:r>
    </w:p>
    <w:bookmarkEnd w:id="49"/>
    <w:bookmarkStart w:id="50" w:name="the-fiscal-isolation-fallacy"/>
    <w:p>
      <w:pPr>
        <w:pStyle w:val="Heading3"/>
      </w:pPr>
      <w:r>
        <w:t xml:space="preserve">6.4 The Fiscal Isolation Fallacy</w:t>
      </w:r>
    </w:p>
    <w:p>
      <w:pPr>
        <w:pStyle w:val="FirstParagraph"/>
      </w:pPr>
      <w:r>
        <w:rPr>
          <w:bCs/>
          <w:b/>
        </w:rPr>
        <w:t xml:space="preserve">Objection</w:t>
      </w:r>
      <w:r>
        <w:t xml:space="preserve">: Standalone stabilization towers, automated sanitation pods, and vertical triage infrastructure require impossible political capital expenditure.</w:t>
      </w:r>
    </w:p>
    <w:p>
      <w:pPr>
        <w:pStyle w:val="BodyText"/>
      </w:pPr>
      <w:r>
        <w:rPr>
          <w:bCs/>
          <w:b/>
        </w:rPr>
        <w:t xml:space="preserve">Error Vector</w:t>
      </w:r>
      <w:r>
        <w:t xml:space="preserve">: </w:t>
      </w:r>
      <w:r>
        <w:rPr>
          <w:iCs/>
          <w:i/>
        </w:rPr>
        <w:t xml:space="preserve">Ignoring Dispersed Costs</w:t>
      </w:r>
      <w:r>
        <w:t xml:space="preserve"> This critique views MDI capitalization in a fiscal vacuum. It ignores the dispersed, high-velocity expenditure of uncompensated emergency medical transport, recurring psychiatric holds, emergency room triage, and continuous police sweep operations. By ignoring the established municipal drain caused by systemic abandonment, the objection misunderstands the financial mechanics of preventative infrastructure investment (e.g., municipal social impact bonds). Acquiring distressed Class B/C commercial towers at post-COVID discounts reduces all-in conversion costs to roughly one-sixth of ground-up construction (Urban Land Institute, 2023), converting real estate market correction into fiscal stewardship rather than speculation.</w:t>
      </w:r>
    </w:p>
    <w:bookmarkEnd w:id="50"/>
    <w:bookmarkStart w:id="51" w:name="the-privacy-and-surveillance-fallacy"/>
    <w:p>
      <w:pPr>
        <w:pStyle w:val="Heading3"/>
      </w:pPr>
      <w:r>
        <w:t xml:space="preserve">6.5 The Privacy and Surveillance Fallacy</w:t>
      </w:r>
    </w:p>
    <w:p>
      <w:pPr>
        <w:pStyle w:val="FirstParagraph"/>
      </w:pPr>
      <w:r>
        <w:rPr>
          <w:bCs/>
          <w:b/>
        </w:rPr>
        <w:t xml:space="preserve">Objection</w:t>
      </w:r>
      <w:r>
        <w:t xml:space="preserve">: Deploying biometric vestibules, automated entry monitoring, and managed clinical access violates basic civil liberties and individual privacy.</w:t>
      </w:r>
    </w:p>
    <w:p>
      <w:pPr>
        <w:pStyle w:val="BodyText"/>
      </w:pPr>
      <w:r>
        <w:rPr>
          <w:bCs/>
          <w:b/>
        </w:rPr>
        <w:t xml:space="preserve">Error Vector</w:t>
      </w:r>
      <w:r>
        <w:t xml:space="preserve">: </w:t>
      </w:r>
      <w:r>
        <w:rPr>
          <w:iCs/>
          <w:i/>
        </w:rPr>
        <w:t xml:space="preserve">Misapplying Privacy Norms</w:t>
      </w:r>
      <w:r>
        <w:t xml:space="preserve"> This objection imposes middle-class privacy expectations onto a population experiencing lethal physical decay in public spaces. It prioritizes the theoretical preservation of anonymity over the biological necessity of survival. Protected, monitored access is an architectural requisite for eliminating street-level violence and assault; discarding it in the name of privacy guarantees continued predation. Defensible Space Theory (Newman, 1972) resolves the apparent contradiction between open access and population protection: a no-gate ground-floor commons provides survival services without identification, while secured residential floors enforce biometric access to protect the stabilized population from predatory intrusion.</w:t>
      </w:r>
    </w:p>
    <w:bookmarkEnd w:id="51"/>
    <w:bookmarkStart w:id="52" w:name="the-classification-bias-fallacy"/>
    <w:p>
      <w:pPr>
        <w:pStyle w:val="Heading3"/>
      </w:pPr>
      <w:r>
        <w:t xml:space="preserve">6.6 The Classification Bias Fallacy</w:t>
      </w:r>
    </w:p>
    <w:p>
      <w:pPr>
        <w:pStyle w:val="FirstParagraph"/>
      </w:pPr>
      <w:r>
        <w:rPr>
          <w:bCs/>
          <w:b/>
        </w:rPr>
        <w:t xml:space="preserve">Objection</w:t>
      </w:r>
      <w:r>
        <w:t>: Defining “cognitive collapse” and mandating stabilization weaponizes medical assessment against marginalized groups and enforces behavioral conformity.</w:t>
      </w:r>
    </w:p>
    <w:p>
      <w:pPr>
        <w:pStyle w:val="BodyText"/>
      </w:pPr>
      <w:r>
        <w:rPr>
          <w:bCs/>
          <w:b/>
        </w:rPr>
        <w:t xml:space="preserve">Error Vector</w:t>
      </w:r>
      <w:r>
        <w:t xml:space="preserve">: </w:t>
      </w:r>
      <w:r>
        <w:rPr>
          <w:iCs/>
          <w:i/>
        </w:rPr>
        <w:t xml:space="preserve">Confusing Psychiatry with Biology</w:t>
      </w:r>
      <w:r>
        <w:t xml:space="preserve"> This objection confuses psychiatric variance with objective biological indicators. MDI thresholds are not determined by behavioral non-conformity; they are defined by critical thermoregulatory failure, advanced cachexia, profound sleep deprivation, and measurable physical decay. Treating empirical biological failure as a socially constructed bias misreads the clinical nature of the intervention. STC-65 acoustic decompression operates as a neurological ICU protocol: chronic cortisol toxicity degrades prefrontal tissue (Arnsten, 2009; McEwen, 2017), and silence within ASHRAE-compliant environmental parameters is the clinical intervention required to lower allostatic load, not punitive isolation.</w:t>
      </w:r>
    </w:p>
    <w:bookmarkEnd w:id="52"/>
    <w:bookmarkStart w:id="53" w:name="the-thermodynamic-determinism-fallacy"/>
    <w:p>
      <w:pPr>
        <w:pStyle w:val="Heading3"/>
      </w:pPr>
      <w:r>
        <w:t xml:space="preserve">6.7 The Thermodynamic Determinism Fallacy</w:t>
      </w:r>
    </w:p>
    <w:p>
      <w:pPr>
        <w:pStyle w:val="FirstParagraph"/>
      </w:pPr>
      <w:r>
        <w:rPr>
          <w:bCs/>
          <w:b/>
        </w:rPr>
        <w:t xml:space="preserve">Objection</w:t>
      </w:r>
      <w:r>
        <w:t>: The application of “Moral Physics” and thermodynamics to human dignity is a pseudoscientific overreach that maps physical entropy onto social phenomena.</w:t>
      </w:r>
    </w:p>
    <w:p>
      <w:pPr>
        <w:pStyle w:val="BodyText"/>
      </w:pPr>
      <w:r>
        <w:rPr>
          <w:bCs/>
          <w:b/>
        </w:rPr>
        <w:t xml:space="preserve">Error Vector</w:t>
      </w:r>
      <w:r>
        <w:t xml:space="preserve">: </w:t>
      </w:r>
      <w:r>
        <w:rPr>
          <w:iCs/>
          <w:i/>
        </w:rPr>
        <w:t xml:space="preserve">Literalizing Analogies</w:t>
      </w:r>
      <w:r>
        <w:t xml:space="preserve"> This objection mistakes a conceptual model for a formal mathematical equation. MDI applies thermodynamics as an analogical heuristic to illustrate how biological life operates as an open system that must continuously import negative entropy to survive. It bridges the gap between the material requirement to arrest entropic slide and the moral obligation of the state.</w:t>
      </w:r>
    </w:p>
    <w:bookmarkEnd w:id="53"/>
    <w:bookmarkStart w:id="54" w:name="the-engineering-feasibility-fallacy"/>
    <w:p>
      <w:pPr>
        <w:pStyle w:val="Heading3"/>
      </w:pPr>
      <w:r>
        <w:t xml:space="preserve">6.8 The Engineering Feasibility Fallacy</w:t>
      </w:r>
    </w:p>
    <w:p>
      <w:pPr>
        <w:pStyle w:val="FirstParagraph"/>
      </w:pPr>
      <w:r>
        <w:rPr>
          <w:bCs/>
          <w:b/>
        </w:rPr>
        <w:t xml:space="preserve">Objection</w:t>
      </w:r>
      <w:r>
        <w:t xml:space="preserve">: Zoning regulations, building codes, and community opposition (NIMBYism) make the rapid deployment of standardized pods and Vertically Integrated Stabilization Towers structurally impossible.</w:t>
      </w:r>
    </w:p>
    <w:p>
      <w:pPr>
        <w:pStyle w:val="BodyText"/>
      </w:pPr>
      <w:r>
        <w:rPr>
          <w:bCs/>
          <w:b/>
        </w:rPr>
        <w:t xml:space="preserve">Error Vector</w:t>
      </w:r>
      <w:r>
        <w:t xml:space="preserve">: </w:t>
      </w:r>
      <w:r>
        <w:rPr>
          <w:iCs/>
          <w:i/>
        </w:rPr>
        <w:t xml:space="preserve">Surrendering to Zoning Codes</w:t>
      </w:r>
      <w:r>
        <w:t xml:space="preserve"> This objection accepts municipal administrative barriers as permanent laws of nature. MDI positions these infrastructure developments as critical public utilities, bypassing standard residential zoning queues through emergency or utility-classification structures. Treating regulatory hurdles as insurmountable stops systemic public works reform.</w:t>
      </w:r>
    </w:p>
    <w:bookmarkEnd w:id="54"/>
    <w:bookmarkStart w:id="55" w:name="the-predator-victim-binary-fallacy"/>
    <w:p>
      <w:pPr>
        <w:pStyle w:val="Heading3"/>
      </w:pPr>
      <w:r>
        <w:t xml:space="preserve">6.9 The Predator-Victim Binary Fallacy</w:t>
      </w:r>
    </w:p>
    <w:p>
      <w:pPr>
        <w:pStyle w:val="FirstParagraph"/>
      </w:pPr>
      <w:r>
        <w:rPr>
          <w:bCs/>
          <w:b/>
        </w:rPr>
        <w:t xml:space="preserve">Objection</w:t>
      </w:r>
      <w:r>
        <w:t xml:space="preserve">: Separating street populations into defenseless casualties and predatory exploiters oversimplifies survival economics and justifies carceral sweeps under the guise of medical extraction.</w:t>
      </w:r>
    </w:p>
    <w:p>
      <w:pPr>
        <w:pStyle w:val="BodyText"/>
      </w:pPr>
      <w:r>
        <w:rPr>
          <w:bCs/>
          <w:b/>
        </w:rPr>
        <w:t xml:space="preserve">Error Vector</w:t>
      </w:r>
      <w:r>
        <w:t xml:space="preserve">: </w:t>
      </w:r>
      <w:r>
        <w:rPr>
          <w:iCs/>
          <w:i/>
        </w:rPr>
        <w:t xml:space="preserve">Confusing Predation with Subsistence</w:t>
      </w:r>
      <w:r>
        <w:t xml:space="preserve"> This objection treats narcotics distribution and sexual exploitation as survival behavior equivalent to panhandling or scavenging. Routine Activity Theory (Cohen &amp; Felson, 1979) establishes that crime requires a motivated offender, a suitable target, and the absence of a capable guardian. Encampments concentrate neurologically defenseless targets in unguarded space, creating an optimal predator marketplace. When MDI extracts the victim population, the predator economy loses its captive customer base, its human camouflage, and its reason to congregate. Crime Prevention Through Environmental Design (Jeffery, 1971) confirms that altering the spatial conditions of predation collapses the predatory structure without requiring expanded policing.</w:t>
      </w:r>
    </w:p>
    <w:bookmarkEnd w:id="55"/>
    <w:bookmarkStart w:id="56" w:name="the-silver-bullet-fallacy"/>
    <w:p>
      <w:pPr>
        <w:pStyle w:val="Heading3"/>
      </w:pPr>
      <w:r>
        <w:t xml:space="preserve">6.10 The Silver Bullet Fallacy</w:t>
      </w:r>
    </w:p>
    <w:p>
      <w:pPr>
        <w:pStyle w:val="FirstParagraph"/>
      </w:pPr>
      <w:r>
        <w:rPr>
          <w:bCs/>
          <w:b/>
        </w:rPr>
        <w:t xml:space="preserve">Objection</w:t>
      </w:r>
      <w:r>
        <w:t xml:space="preserve">: Homelessness is a multi-dimensional crisis rooted in housing markets, structural racism, psychiatric illness, and deindustrialization. Proposing a single engineering intervention ignores social complexity.</w:t>
      </w:r>
    </w:p>
    <w:p>
      <w:pPr>
        <w:pStyle w:val="BodyText"/>
      </w:pPr>
      <w:r>
        <w:rPr>
          <w:bCs/>
          <w:b/>
        </w:rPr>
        <w:t xml:space="preserve">Error Vector</w:t>
      </w:r>
      <w:r>
        <w:t xml:space="preserve">: </w:t>
      </w:r>
      <w:r>
        <w:rPr>
          <w:iCs/>
          <w:i/>
        </w:rPr>
        <w:t xml:space="preserve">Conflating Prerequisites with Complete Solutions</w:t>
      </w:r>
      <w:r>
        <w:t xml:space="preserve"> This objection uses structural complexity to justify administrative paralysis. MDI does not claim to resolve long-term economic inequality or psychiatric disorders. It restores the biological floor required for all subsequent social programs to function. Phase Zero metabolic stabilization is a prerequisite, not a replacement: without restored prefrontal cortex function, the target cohort lacks the neurological capacity to participate in housing programs, vocational training, or therapeutic intervention. Treating a baseline biological prerequisite as a silver-bullet illusion guarantees continued lethal drift.</w:t>
      </w:r>
    </w:p>
    <w:bookmarkEnd w:id="56"/>
    <w:bookmarkEnd w:id="57"/>
    <w:bookmarkStart w:id="60" w:name="conclusion"/>
    <w:p>
      <w:pPr>
        <w:pStyle w:val="Heading2"/>
      </w:pPr>
      <w:r>
        <w:t xml:space="preserve">7. Conclusion</w:t>
      </w:r>
    </w:p>
    <w:bookmarkStart w:id="58" w:name="summary-of-the-model-shift"/>
    <w:p>
      <w:pPr>
        <w:pStyle w:val="Heading3"/>
      </w:pPr>
      <w:r>
        <w:t xml:space="preserve">7.1 Summary of the Model Shift</w:t>
      </w:r>
    </w:p>
    <w:p>
      <w:pPr>
        <w:pStyle w:val="FirstParagraph"/>
      </w:pPr>
      <w:r>
        <w:t xml:space="preserve">Urban design provides the primary mechanism for arresting bodily decay among vulnerable populations (Westbrook &amp; Robinson, 2021). Before implementing sociological or programmatic interventions, municipalities must restructure public spaces to support physiological stabilization. Engineering survival infrastructure enables municipal authorities to rebuild the fragile material foundations required for human agency and long-term recovery.</w:t>
      </w:r>
    </w:p>
    <w:p>
      <w:pPr>
        <w:pStyle w:val="BodyText"/>
      </w:pPr>
      <w:r>
        <w:t xml:space="preserve">The current municipal approach to homelessness is a structural failure disguised as a social problem. By demanding programmatic compliance from individuals whose cognitive capacity has been dismantled by environmental trauma, cities guarantee the failure of their own programs. We must recognize that the body’s physical integrity is the prerequisite for any form of social or economic recovery.</w:t>
      </w:r>
    </w:p>
    <w:p>
      <w:pPr>
        <w:pStyle w:val="BodyText"/>
      </w:pPr>
      <w:r>
        <w:t xml:space="preserve">To build a humane and rational city, we must treat the physical environment as a moral variable. The design of our public spaces must reflect an understanding of human biology and thermodynamic needs. By deploying MDI and establishing a biological floor, we can halt the progressive decay of our most vulnerable citizens, rebuilding the material foundations of the social contract.</w:t>
      </w:r>
    </w:p>
    <w:p>
      <w:pPr>
        <w:pStyle w:val="BodyText"/>
      </w:pPr>
      <w:r>
        <w:t xml:space="preserve">This model shift requires a rejection of the voluntaristic housing models that dominate modern social policy. We must accept that when an individual’s cognitive agency has collapsed, the municipal government has a positive obligation to intervene, stabilize, and rebuild that agency. This commitment must be operationalized through permanent, standardized public infrastructure.</w:t>
      </w:r>
    </w:p>
    <w:bookmarkEnd w:id="58"/>
    <w:bookmarkStart w:id="59" w:name="future-research-directions"/>
    <w:p>
      <w:pPr>
        <w:pStyle w:val="Heading3"/>
      </w:pPr>
      <w:r>
        <w:t xml:space="preserve">7.2 Future Research Directions</w:t>
      </w:r>
    </w:p>
    <w:p>
      <w:pPr>
        <w:pStyle w:val="FirstParagraph"/>
      </w:pPr>
      <w:r>
        <w:t xml:space="preserve">The integration of neurobiology, thermodynamics, and urban planning represents a new field of study for social policy. Future research must focus on measuring the precise cognitive and physiological impacts of different physical environments. By conducting longitudinal studies of individuals in MDI installations, researchers can refine the engineering specifications for stabilization infrastructure.</w:t>
      </w:r>
    </w:p>
    <w:p>
      <w:pPr>
        <w:pStyle w:val="BodyText"/>
      </w:pPr>
      <w:r>
        <w:t xml:space="preserve">To measure these effects, researchers must track biomarkers of chronic stress, including cortisol and inflammatory cytokines, before and after placement in stabilization towers. Cognitive testing must evaluate changes in executive functioning, working memory, and decision-making capacity over time, documenting the rate of neurological recovery.</w:t>
      </w:r>
    </w:p>
    <w:p>
      <w:pPr>
        <w:pStyle w:val="BodyText"/>
      </w:pPr>
      <w:r>
        <w:t xml:space="preserve">Economists must develop broader models for evaluating the long-term fiscal benefits of preventative infrastructure. These models must account for the indirect savings in emergency healthcare, public protection, and tourism revenue. By demonstrating the long-term financial viability of MDI, social scientists and economists can collaborate to build the broad political and civic consensus necessary for large-scale municipal deployment across urban centers.</w:t>
      </w:r>
    </w:p>
    <w:p>
      <w:pPr>
        <w:pStyle w:val="BodyText"/>
      </w:pPr>
      <w:r>
        <w:t xml:space="preserve">The goal of this research is to establish design guidelines that make extreme precarity impossible. By engineering the city to support human biology, we can guarantee that the physical prerequisites of agency are protected for all, fulfilling the moral obligations of a civilized society.</w:t>
      </w:r>
    </w:p>
    <w:bookmarkEnd w:id="59"/>
    <w:bookmarkEnd w:id="60"/>
    <w:bookmarkStart w:id="64" w:name="declarations"/>
    <w:p>
      <w:pPr>
        <w:pStyle w:val="Heading2"/>
      </w:pPr>
      <w:r>
        <w:t xml:space="preserve">Declarations</w:t>
      </w:r>
    </w:p>
    <w:bookmarkStart w:id="61" w:name="funding"/>
    <w:p>
      <w:pPr>
        <w:pStyle w:val="Heading3"/>
      </w:pPr>
      <w:r>
        <w:t xml:space="preserve">Funding</w:t>
      </w:r>
    </w:p>
    <w:p>
      <w:pPr>
        <w:pStyle w:val="FirstParagraph"/>
      </w:pPr>
      <w:r>
        <w:t xml:space="preserve">This work received no grant from any funding agency in the public, commercial, or not-for-profit sectors.</w:t>
      </w:r>
    </w:p>
    <w:bookmarkEnd w:id="61"/>
    <w:bookmarkStart w:id="62" w:name="disclosure-statement"/>
    <w:p>
      <w:pPr>
        <w:pStyle w:val="Heading3"/>
      </w:pPr>
      <w:r>
        <w:t xml:space="preserve">Disclosure Statement</w:t>
      </w:r>
    </w:p>
    <w:p>
      <w:pPr>
        <w:pStyle w:val="FirstParagraph"/>
      </w:pPr>
      <w:r>
        <w:t xml:space="preserve">No potential conflict of interest was reported by the authors.</w:t>
      </w:r>
    </w:p>
    <w:bookmarkEnd w:id="62"/>
    <w:bookmarkStart w:id="63" w:name="data-availability-statement"/>
    <w:p>
      <w:pPr>
        <w:pStyle w:val="Heading3"/>
      </w:pPr>
      <w:r>
        <w:t xml:space="preserve">Data Availability Statement</w:t>
      </w:r>
    </w:p>
    <w:p>
      <w:pPr>
        <w:pStyle w:val="FirstParagraph"/>
      </w:pPr>
      <w:r>
        <w:t xml:space="preserve">Data sharing is not applicable to this article as no new datasets were created or analyzed.</w:t>
      </w:r>
    </w:p>
    <w:bookmarkEnd w:id="63"/>
    <w:bookmarkEnd w:id="64"/>
    <w:bookmarkStart w:id="65" w:name="references"/>
    <w:p>
      <w:pPr>
        <w:pStyle w:val="Heading2"/>
      </w:pPr>
      <w:r>
        <w:t xml:space="preserve">References</w:t>
      </w:r>
    </w:p>
    <w:p>
      <w:pPr>
        <w:pStyle w:val="FirstParagraph"/>
      </w:pPr>
      <w:r>
        <w:t xml:space="preserve">Appelbaum, P. S. (1994). </w:t>
      </w:r>
      <w:r>
        <w:rPr>
          <w:iCs/>
          <w:i/>
        </w:rPr>
        <w:t xml:space="preserve">Almost a revolution: Mental health law and the limits of change</w:t>
      </w:r>
      <w:r>
        <w:t xml:space="preserve">. Oxford University Press.</w:t>
      </w:r>
    </w:p>
    <w:p>
      <w:pPr>
        <w:pStyle w:val="BodyText"/>
      </w:pPr>
      <w:r>
        <w:t xml:space="preserve">Aravena, A. (2016). </w:t>
      </w:r>
      <w:r>
        <w:rPr>
          <w:iCs/>
          <w:i/>
        </w:rPr>
        <w:t xml:space="preserve">Elemental: Incremental housing and participatory design manual</w:t>
      </w:r>
      <w:r>
        <w:t xml:space="preserve">. Hatje Cantz.</w:t>
      </w:r>
    </w:p>
    <w:p>
      <w:pPr>
        <w:pStyle w:val="BodyText"/>
      </w:pPr>
      <w:r>
        <w:t xml:space="preserve">Arnsten, A. F. (2009). Stress signalling pathways that impair prefrontal cortex structure and function. </w:t>
      </w:r>
      <w:r>
        <w:rPr>
          <w:iCs/>
          <w:i/>
        </w:rPr>
        <w:t xml:space="preserve">Nature Reviews Neuroscience</w:t>
      </w:r>
      <w:r>
        <w:t xml:space="preserve">, 10(6), 410-422.</w:t>
      </w:r>
    </w:p>
    <w:p>
      <w:pPr>
        <w:pStyle w:val="BodyText"/>
      </w:pPr>
      <w:r>
        <w:t xml:space="preserve">ASCE. (2022). </w:t>
      </w:r>
      <w:r>
        <w:rPr>
          <w:iCs/>
          <w:i/>
        </w:rPr>
        <w:t xml:space="preserve">Minimum design loads and associated criteria for buildings and other structures</w:t>
      </w:r>
      <w:r>
        <w:t xml:space="preserve"> (ASCE/SEI 7-22). American Society of Civil Engineers.</w:t>
      </w:r>
    </w:p>
    <w:p>
      <w:pPr>
        <w:pStyle w:val="BodyText"/>
      </w:pPr>
      <w:r>
        <w:t xml:space="preserve">ASHRAE. (2019). </w:t>
      </w:r>
      <w:r>
        <w:rPr>
          <w:iCs/>
          <w:i/>
        </w:rPr>
        <w:t xml:space="preserve">Ventilation for acceptable indoor air quality</w:t>
      </w:r>
      <w:r>
        <w:t xml:space="preserve"> (Standard 62.1-2019). American Society of Heating, Refrigerating and Air-Conditioning Engineers.</w:t>
      </w:r>
    </w:p>
    <w:p>
      <w:pPr>
        <w:pStyle w:val="BodyText"/>
      </w:pPr>
      <w:r>
        <w:t xml:space="preserve">Cohen, L. E., &amp; Felson, M. (1979). Social change and crime rate trends: A routine activity approach. </w:t>
      </w:r>
      <w:r>
        <w:rPr>
          <w:iCs/>
          <w:i/>
        </w:rPr>
        <w:t xml:space="preserve">American Sociological Review</w:t>
      </w:r>
      <w:r>
        <w:t xml:space="preserve">, 44(4), 588-608.</w:t>
      </w:r>
    </w:p>
    <w:p>
      <w:pPr>
        <w:pStyle w:val="BodyText"/>
      </w:pPr>
      <w:r>
        <w:t xml:space="preserve">Batterham, D. (2020). Homelessness as capability deprivation: A conceptual model. </w:t>
      </w:r>
      <w:r>
        <w:rPr>
          <w:iCs/>
          <w:i/>
        </w:rPr>
        <w:t xml:space="preserve">Housing, Theory and Society</w:t>
      </w:r>
      <w:r>
        <w:t xml:space="preserve">, 37(3), 274-297.</w:t>
      </w:r>
    </w:p>
    <w:p>
      <w:pPr>
        <w:pStyle w:val="BodyText"/>
      </w:pPr>
      <w:r>
        <w:t xml:space="preserve">Crocker, D. A. (2008). </w:t>
      </w:r>
      <w:r>
        <w:rPr>
          <w:iCs/>
          <w:i/>
        </w:rPr>
        <w:t xml:space="preserve">Ethics of global development: Agency, capability, and deliberative democracy</w:t>
      </w:r>
      <w:r>
        <w:t xml:space="preserve">. Cambridge University Press.</w:t>
      </w:r>
    </w:p>
    <w:p>
      <w:pPr>
        <w:pStyle w:val="BodyText"/>
      </w:pPr>
      <w:r>
        <w:t xml:space="preserve">DeVerteuil, G. (2015). </w:t>
      </w:r>
      <w:r>
        <w:rPr>
          <w:iCs/>
          <w:i/>
        </w:rPr>
        <w:t xml:space="preserve">Resilience in the post-welfare inner city: Voluntary sector geographies in London, Los Angeles and Sydney</w:t>
      </w:r>
      <w:r>
        <w:t xml:space="preserve">. Policy Press.</w:t>
      </w:r>
    </w:p>
    <w:p>
      <w:pPr>
        <w:pStyle w:val="BodyText"/>
      </w:pPr>
      <w:r>
        <w:t xml:space="preserve">Gowan, T. (2010). </w:t>
      </w:r>
      <w:r>
        <w:rPr>
          <w:iCs/>
          <w:i/>
        </w:rPr>
        <w:t xml:space="preserve">Hobos, hustlers, and backsliders: Homeless in San Francisco</w:t>
      </w:r>
      <w:r>
        <w:t xml:space="preserve">. University of Minnesota Press.</w:t>
      </w:r>
    </w:p>
    <w:p>
      <w:pPr>
        <w:pStyle w:val="BodyText"/>
      </w:pPr>
      <w:r>
        <w:t xml:space="preserve">Jeffery, C. R. (1971). </w:t>
      </w:r>
      <w:r>
        <w:rPr>
          <w:iCs/>
          <w:i/>
        </w:rPr>
        <w:t xml:space="preserve">Crime prevention through environmental design</w:t>
      </w:r>
      <w:r>
        <w:t xml:space="preserve">. Sage Publications.</w:t>
      </w:r>
    </w:p>
    <w:p>
      <w:pPr>
        <w:pStyle w:val="BodyText"/>
      </w:pPr>
      <w:r>
        <w:t xml:space="preserve">Maritain, J. (1951). </w:t>
      </w:r>
      <w:r>
        <w:rPr>
          <w:iCs/>
          <w:i/>
        </w:rPr>
        <w:t xml:space="preserve">Man and the state</w:t>
      </w:r>
      <w:r>
        <w:t xml:space="preserve">. University of Chicago Press.</w:t>
      </w:r>
    </w:p>
    <w:p>
      <w:pPr>
        <w:pStyle w:val="BodyText"/>
      </w:pPr>
      <w:r>
        <w:t xml:space="preserve">McEwen, B. S. (2017). Neurobiological and systemic effects of chronic stress. </w:t>
      </w:r>
      <w:r>
        <w:rPr>
          <w:iCs/>
          <w:i/>
        </w:rPr>
        <w:t xml:space="preserve">Chronic Stress</w:t>
      </w:r>
      <w:r>
        <w:t xml:space="preserve">, 1.</w:t>
      </w:r>
    </w:p>
    <w:p>
      <w:pPr>
        <w:pStyle w:val="BodyText"/>
      </w:pPr>
      <w:r>
        <w:t xml:space="preserve">Mitchell, D. (1997). The annihilation of space by law: The anti-homeless laws and the shrinking of public space in American cities. </w:t>
      </w:r>
      <w:r>
        <w:rPr>
          <w:iCs/>
          <w:i/>
        </w:rPr>
        <w:t xml:space="preserve">Antipode</w:t>
      </w:r>
      <w:r>
        <w:t xml:space="preserve">, 29(3), 303-335.</w:t>
      </w:r>
    </w:p>
    <w:p>
      <w:pPr>
        <w:pStyle w:val="BodyText"/>
      </w:pPr>
      <w:r>
        <w:t xml:space="preserve">Newman, O. (1972). </w:t>
      </w:r>
      <w:r>
        <w:rPr>
          <w:iCs/>
          <w:i/>
        </w:rPr>
        <w:t xml:space="preserve">Defensible space: Crime prevention through urban design</w:t>
      </w:r>
      <w:r>
        <w:t xml:space="preserve">. Macmillan.</w:t>
      </w:r>
    </w:p>
    <w:p>
      <w:pPr>
        <w:pStyle w:val="BodyText"/>
      </w:pPr>
      <w:r>
        <w:t xml:space="preserve">Nussbaum, M. C. (2011). </w:t>
      </w:r>
      <w:r>
        <w:rPr>
          <w:iCs/>
          <w:i/>
        </w:rPr>
        <w:t xml:space="preserve">Creating capabilities: The human development approach</w:t>
      </w:r>
      <w:r>
        <w:t xml:space="preserve">. Harvard University Press.</w:t>
      </w:r>
    </w:p>
    <w:p>
      <w:pPr>
        <w:pStyle w:val="BodyText"/>
      </w:pPr>
      <w:r>
        <w:t xml:space="preserve">Roth, M. (2001). Guardianship and the least restrictive alternative. </w:t>
      </w:r>
      <w:r>
        <w:rPr>
          <w:iCs/>
          <w:i/>
        </w:rPr>
        <w:t xml:space="preserve">Journal of Health Politics, Policy and Law</w:t>
      </w:r>
      <w:r>
        <w:t xml:space="preserve">, 26(3), 603-625.</w:t>
      </w:r>
    </w:p>
    <w:p>
      <w:pPr>
        <w:pStyle w:val="BodyText"/>
      </w:pPr>
      <w:r>
        <w:t xml:space="preserve">Sapolsky, R. M. (2004). </w:t>
      </w:r>
      <w:r>
        <w:rPr>
          <w:iCs/>
          <w:i/>
        </w:rPr>
        <w:t xml:space="preserve">Why zebras don’t get ulcers</w:t>
      </w:r>
      <w:r>
        <w:t xml:space="preserve">. Holt Paperbacks.</w:t>
      </w:r>
    </w:p>
    <w:p>
      <w:pPr>
        <w:pStyle w:val="BodyText"/>
      </w:pPr>
      <w:r>
        <w:t xml:space="preserve">Sen, A. (1999). </w:t>
      </w:r>
      <w:r>
        <w:rPr>
          <w:iCs/>
          <w:i/>
        </w:rPr>
        <w:t xml:space="preserve">Development as freedom</w:t>
      </w:r>
      <w:r>
        <w:t xml:space="preserve">. Oxford University Press.</w:t>
      </w:r>
    </w:p>
    <w:p>
      <w:pPr>
        <w:pStyle w:val="BodyText"/>
      </w:pPr>
      <w:r>
        <w:t xml:space="preserve">Szasz, T. S. (1960). The myth of mental illness. </w:t>
      </w:r>
      <w:r>
        <w:rPr>
          <w:iCs/>
          <w:i/>
        </w:rPr>
        <w:t xml:space="preserve">American Psychologist</w:t>
      </w:r>
      <w:r>
        <w:t xml:space="preserve">, 15(2), 113-118.</w:t>
      </w:r>
    </w:p>
    <w:p>
      <w:pPr>
        <w:pStyle w:val="BodyText"/>
      </w:pPr>
      <w:r>
        <w:t xml:space="preserve">Tsemberis, S., Gulcur, L., &amp; Nakae, M. (2004). Housing First, consumer choice, and harm reduction for individuals who are homeless and have co-occurring disorders. </w:t>
      </w:r>
      <w:r>
        <w:rPr>
          <w:iCs/>
          <w:i/>
        </w:rPr>
        <w:t xml:space="preserve">American Journal of Public Health</w:t>
      </w:r>
      <w:r>
        <w:t xml:space="preserve">, 94(4), 651–656.</w:t>
      </w:r>
    </w:p>
    <w:p>
      <w:pPr>
        <w:pStyle w:val="BodyText"/>
      </w:pPr>
      <w:r>
        <w:t xml:space="preserve">Walker, M. (2017). </w:t>
      </w:r>
      <w:r>
        <w:rPr>
          <w:iCs/>
          <w:i/>
        </w:rPr>
        <w:t xml:space="preserve">Why we sleep: Unlocking the power of sleep and dreams</w:t>
      </w:r>
      <w:r>
        <w:t xml:space="preserve">. Simon and Schuster.</w:t>
      </w:r>
    </w:p>
    <w:p>
      <w:pPr>
        <w:pStyle w:val="BodyText"/>
      </w:pPr>
      <w:r>
        <w:t xml:space="preserve">Westbrook, M., &amp; Robinson, T. (2021). Unhealthy by design: Health and safety consequences of the criminalization of homelessness. </w:t>
      </w:r>
      <w:r>
        <w:rPr>
          <w:iCs/>
          <w:i/>
        </w:rPr>
        <w:t xml:space="preserve">Journal of Social Distress and Homelessness</w:t>
      </w:r>
      <w:r>
        <w:t xml:space="preserve">, 30(2), 107–115.</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2026-06-15T20:15:19Z</dcterms:created>
  <dcterms:modified xsi:type="dcterms:W3CDTF">2026-06-15T20:15:19Z</dcterms:modified>
</cp:coreProperties>
</file>

<file path=docProps/custom.xml><?xml version="1.0" encoding="utf-8"?>
<Properties xmlns="http://schemas.openxmlformats.org/officeDocument/2006/custom-properties" xmlns:vt="http://schemas.openxmlformats.org/officeDocument/2006/docPropsVTypes"/>
</file>