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The Material Dignity Infrastructure working papers referenced in this book are available at the Social Science Research Network (SSRN) under Abstract IDs 5968756, 6211658, and 6579600.</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I observed the mechanics of this crisis directly from the street level. Thirty years of tracking unhoused populations across the United States, Southeast Asia, and Europe provides the physical foundation for this book. This long-term closeness authorizes a direct study of the failure. California spent twenty-four billion dollars on a crisis that grew steadily next to that historic spending. City sweep operations moved vulnerable populations to nearby streets in rapid cycles. The intervention system grew in budget and staff size. The unhoused population simultaneously gathered in larger numbers beneath city bridges and along drainage channels.</w:t>
      </w:r>
    </w:p>
    <w:p>
      <w:pPr>
        <w:pStyle w:val="BodyText"/>
      </w:pPr>
      <w:r>
        <w:t xml:space="preserve">This book tracks that verified physical pattern. It draws on medical records and federal housing evidence from the Department of Housing and Urban Development. It relies on research proving the structural failures of the nonprofit sector. It builds upon three working papers published through the Social Science Research Network between 2025 and 2026. Those papers proposed an industrial alternative to the failed charity model. They presented the technical system known as the Material Dignity Infrastructure.</w:t>
      </w:r>
    </w:p>
    <w:p>
      <w:pPr>
        <w:pStyle w:val="BodyText"/>
      </w:pPr>
      <w:r>
        <w:t xml:space="preserve">The people who built these programs believed they were leading a necessary humanitarian mission. Their belief provides zero protection against mechanical failure. The true results of these programs exist in the medical literature and the federal evidence record. One hundred and eighty-seven thousand people remained outside in California at the end of the highest state spending in history. A massive gap separates good intentions from physical results. Closing that gap requires understanding the basic gears of the revenue machine. A permanent fix demands a new industrial pipeline.</w:t>
      </w:r>
    </w:p>
    <w:p>
      <w:r>
        <w:pict>
          <v:rect style="width:0;height:1.5pt" o:hralign="center" o:hrstd="t" o:hr="t"/>
        </w:pict>
      </w:r>
    </w:p>
    <w:bookmarkEnd w:id="20"/>
    <w:bookmarkStart w:id="21" w:name="chapter-1-the-synthetic-commons"/>
    <w:p>
      <w:pPr>
        <w:pStyle w:val="Heading1"/>
      </w:pPr>
      <w:r>
        <w:t xml:space="preserve">Chapter 1: The Synthetic Commons</w:t>
      </w:r>
    </w:p>
    <w:p>
      <w:pPr>
        <w:pStyle w:val="FirstParagraph"/>
      </w:pPr>
      <w:r>
        <w:t xml:space="preserve">In May 2026, a video recorded a subterranean living space beneath a Los Angeles bridge within the 110 freeway support pillars. By showing connections to a city junction box two blocks away, the video revealed the power source. This grid supplied electricity for lights, powered small appliances and delivered heating during winter months. Tap connections drew power from the municipal network. Built with scavenged industrial materials, the subterranean quarters contained dozens of individual rooms. The layout of these rooms was complex.</w:t>
      </w:r>
    </w:p>
    <w:p>
      <w:pPr>
        <w:pStyle w:val="BodyText"/>
      </w:pPr>
      <w:r>
        <w:t xml:space="preserve">To construct the subterranean quarters beneath the freeway, builders invested months of continuous labor. Installing the electrical grid under the freeway required particular mechanical skills. By employing concrete support pillars, the structures blocked winter rain, deflected high winds, and maintained structural stability. To avoid detection, the builders chose a location that remained invisible to police sweeps in open public spaces. Due to the lack of examination by city officials of the freeway support pillars, the builders operated without municipal inspection and undisturbed.</w:t>
      </w:r>
    </w:p>
    <w:p>
      <w:pPr>
        <w:pStyle w:val="BodyText"/>
      </w:pPr>
      <w:r>
        <w:t xml:space="preserve">Starting in 2019, California spent twenty-four billion dollars on crisis management. Passing through dozens of agencies and regionally, administrators distributed the funds. This massive expenditure occurred without any testing to verify if the spending sequence matched the biological requirements of the unhoused population. In 2025, the Los Angeles Homeless Services Authority counted more than seventy-five thousand unhoused individuals in Greater Los Angeles County. On any given night, approximately forty-seven thousand individuals slept outside. Throughout the five-year funding cycle, the unhoused population grew.</w:t>
      </w:r>
    </w:p>
    <w:p>
      <w:pPr>
        <w:pStyle w:val="BodyText"/>
      </w:pPr>
      <w:r>
        <w:t xml:space="preserve">Politicians and media organizations use the term</w:t>
      </w:r>
      <w:r>
        <w:t xml:space="preserve"> </w:t>
      </w:r>
      <w:r>
        <w:t xml:space="preserve">‘</w:t>
      </w:r>
      <w:r>
        <w:t xml:space="preserve">encampment</w:t>
      </w:r>
      <w:r>
        <w:t xml:space="preserve">’</w:t>
      </w:r>
      <w:r>
        <w:t xml:space="preserve"> </w:t>
      </w:r>
      <w:r>
        <w:t xml:space="preserve">to describe these locations. The May 2026 video contradicted this terminology by showing permanent residential infrastructure rather than temporary dwelling units. The builders constructed rooms using salvaged materials. To prevent fire hazards, the builders spent weeks installing electrical wiring throughout the rooms. By planning the layout for seasonal weather patterns, the builders established structural stability and protected occupants from injury.</w:t>
      </w:r>
    </w:p>
    <w:p>
      <w:pPr>
        <w:pStyle w:val="BodyText"/>
      </w:pPr>
      <w:r>
        <w:t xml:space="preserve">Finland’s national Housing First programs achieve an eighty to ninety percent housing retention rate over a two-year period. In contrast, the United States achieves below forty percent retention. Before placing an individual in permanent housing, Finland delivers nutritional support, manages healthcare access, and prioritizes basic physiological stabilization. Conversely, the American approach places individuals into apartments during physiological crisis. An individual unable to maintain basic physiological function on the street cannot maintain a permanent housing lease.</w:t>
      </w:r>
    </w:p>
    <w:p>
      <w:pPr>
        <w:pStyle w:val="BodyText"/>
      </w:pPr>
      <w:r>
        <w:t xml:space="preserve">Government spending and the unhoused crisis align because government-run shelter programs fail. The physical environment of the street damages the human body. As a result, the Material Dignity Infrastructure matches the 1908 Los Angeles Aqueduct in scope and structure. The next chapter details the biological trauma of the street environment.</w:t>
      </w:r>
    </w:p>
    <w:p>
      <w:r>
        <w:pict>
          <v:rect style="width:0;height:1.5pt" o:hralign="center" o:hrstd="t" o:hr="t"/>
        </w:pict>
      </w:r>
    </w:p>
    <w:bookmarkEnd w:id="21"/>
    <w:bookmarkStart w:id="22" w:name="chapter-2-the-precondition-of-freedom"/>
    <w:p>
      <w:pPr>
        <w:pStyle w:val="Heading1"/>
      </w:pPr>
      <w:r>
        <w:t xml:space="preserve">Chapter 2: The Precondition of Freedom</w:t>
      </w:r>
    </w:p>
    <w:p>
      <w:pPr>
        <w:pStyle w:val="FirstParagraph"/>
      </w:pPr>
      <w:r>
        <w:t xml:space="preserve">An unhoused resident pushed a cart under the overpass and wedged it between a concrete pillar and a chain-link fence. The resident wrapped a sleeping bag around their shoulders and sat on the pavement, eyes tracking every movement in the shadows. They had slept for three hours over the past two days. To survive the night, the resident must maintain constant vigilance against theft and assault. Without physical safety, the human body reads the environment as a terminal threat and cannot enter deep recovery cycles. Without sleep, the brain cannot initiate cellular repair. This state of physiological alarm systematically destroys cognitive function. Over time, the inability to rest erodes biological capacity to plan for the future.</w:t>
      </w:r>
    </w:p>
    <w:p>
      <w:pPr>
        <w:pStyle w:val="BodyText"/>
      </w:pPr>
      <w:r>
        <w:t xml:space="preserve">Chronic toxic stress defines this biological reality. Street survival floods the human bloodstream with cortisol and adrenaline by continuously exposing the organism to environmental dangers. These short-term emergency chemicals cause severe cumulative damage when sustained for months. Under chronic exposure, the prefrontal cortex suffers physical deterioration. This neural network governs planning, impulse control, and decision-making. As the brain degrades, the organism loses the neurological hardware required to navigate bureaucratic systems. Escaping the street becomes a biological impossibility.</w:t>
      </w:r>
    </w:p>
    <w:p>
      <w:pPr>
        <w:pStyle w:val="BodyText"/>
      </w:pPr>
      <w:r>
        <w:t xml:space="preserve">External observers record these physiological failures as autonomous choices and conclude that poor decisions cause homelessness. In reality, the environment causes the poor decisions by destroying the distinct brain functions required to make better ones. The urban street denies the unhoused population nutritional support, sleep continuity, and physical safety. Recognizing this constraint, Finland engineered its national welfare system to enforce biological recovery before offering permanent housing. In contrast, the American municipal system bypasses biological stabilization.</w:t>
      </w:r>
    </w:p>
    <w:p>
      <w:pPr>
        <w:pStyle w:val="BodyText"/>
      </w:pPr>
      <w:r>
        <w:t xml:space="preserve">Within a stabilization architecture, a locked door functions as a medical intervention. Closing a door and blocking environmental threats signals to the nervous system that the emergency has ended. As stress chemicals recede, the body drops its defensive posture and permits deep sleep. Within days of entering a protected space, measurable improvements in cognitive function begin to appear. Supported by physical stability, the individual regains the capacity to manage complex administrative tasks. Causality dictates that biological recovery drives behavioral change. The organism must heal before the person can act.</w:t>
      </w:r>
    </w:p>
    <w:p>
      <w:pPr>
        <w:pStyle w:val="BodyText"/>
      </w:pPr>
      <w:r>
        <w:t xml:space="preserve">By ignoring biological physics, the congregate shelter system produces predictable institutional failure. Planners arrange hundreds of cots close together inside open warehouses. Constant ambient noise and unpredictable threats prevent deep sleep. Surrounded by strangers suffering from untreated psychiatric conditions, residents remain trapped in a state of high physiological stress. The system fails to protect personal possessions, exposing residents to constant loss. After a restless night in a defensive posture, the individual exits the facility in a further degraded state. The shelter accelerates the decay.</w:t>
      </w:r>
    </w:p>
    <w:p>
      <w:pPr>
        <w:pStyle w:val="BodyText"/>
      </w:pPr>
      <w:r>
        <w:t xml:space="preserve">John Stuart Mill articulated the Harm Principle to establish that society may restrict individual freedom only when an action causes harm to others. Theoretical models suggest that self-harm alone cannot justify state intervention. The boundary between private self-neglect and public harm exists on a gradient. This boundary crosses into the public sphere when untreated wounds produce communicable infections, when biological waste contaminates civic spaces, and when psychiatric deterioration compromises public safety. To resolve these societal hazards, public policies must recognize the threshold where personal biological collapse threatens the broader community.</w:t>
      </w:r>
    </w:p>
    <w:p>
      <w:r>
        <w:pict>
          <v:rect style="width:0;height:1.5pt" o:hralign="center" o:hrstd="t" o:hr="t"/>
        </w:pict>
      </w:r>
    </w:p>
    <w:bookmarkEnd w:id="22"/>
    <w:bookmarkStart w:id="23" w:name="chapter-3-the-revenue-machine"/>
    <w:p>
      <w:pPr>
        <w:pStyle w:val="Heading1"/>
      </w:pPr>
      <w:r>
        <w:t xml:space="preserve">Chapter 3: The Revenue Machine</w:t>
      </w:r>
    </w:p>
    <w:p>
      <w:pPr>
        <w:pStyle w:val="FirstParagraph"/>
      </w:pPr>
      <w:r>
        <w:t xml:space="preserve">Between 2019 and 2026, California spent twenty-four billion dollars on crisis management. Upon examining this budget allocation, state auditors found that agencies counted hot meals, filled emergency beds, and tracked temporary supply distributions. Agencies created a gap in reporting by systematically avoiding monitoring long-term housing retention. Through funding organizations based on the number of bed-nights filled, the state establishes a financial incentive to avoid measuring housing stability. Under this system, the measurement model mirrors the funding incentive.</w:t>
      </w:r>
    </w:p>
    <w:p>
      <w:pPr>
        <w:pStyle w:val="BodyText"/>
      </w:pPr>
      <w:r>
        <w:t xml:space="preserve">Within the vendor state, governments outsource services to external organizations. When paying outsourced organizations based on volume of service rather than outcomes, the government creates a market where the crisis serves as the commodity. Nonprofits count meal distributions instead of eliminating hunger to grow contracts. Across the crisis management chain, emergency shelters, outreach vans, and hygiene programs operate under these volume-based contracts. By occupying particular slots in the system, these organizations rely on unresolved distress to maintain their operations.</w:t>
      </w:r>
    </w:p>
    <w:p>
      <w:pPr>
        <w:pStyle w:val="BodyText"/>
      </w:pPr>
      <w:r>
        <w:t xml:space="preserve">Following the funding allocation, state resources supported emergency shelters that force residents onto the street by six in the morning, which destroys sleep cycles. By forcing early morning exits, the shelter rules disrupt resident sleep cycles and prevent residents from finding work. Without placing individuals in permanent housing, outreach vans distribute survival supplies. Between 2011 and 2020, Houston proved that a different budget allocation was possible by shifting its resources. The city redirected its budget. By using a unified Homeless Management Information System database to coordinate placements, Houston achieved a sixty percent reduction in its unsheltered population between 2011 and 2020.</w:t>
      </w:r>
    </w:p>
    <w:p>
      <w:pPr>
        <w:pStyle w:val="BodyText"/>
      </w:pPr>
      <w:r>
        <w:t xml:space="preserve">Within the current system, large temporary service contractors oppose permanent housing initiatives. Extracting millions of dollars in annual funding, these organizations employ lobbyists to argue that permanent housing is unrealistic, too expensive, and unsuitable for the population. Contractors present binders to prove service delivery. Although the contact data remains real, contractors obscure long-term housing outcomes to the public. Operating under political incentives, the service machine tracks only what it funds.</w:t>
      </w:r>
    </w:p>
    <w:p>
      <w:pPr>
        <w:pStyle w:val="BodyText"/>
      </w:pPr>
      <w:r>
        <w:t xml:space="preserve">To protect their revenue, service providers oppose outcome-based contracting that links payments to verified housing placements. By organizing political opposition, these providers fight against outcome-based metrics. In their public arguments, they claim that outcome-based metrics are unfair, too complex, and counterproductive. United States Department of Agriculture research in 2023 and Department of Housing and Urban Development research in 2022 confirm that separation from pets, partners, or possessions drives shelter refusal. Admitting the failure of temporary models would prove fatal, as the system exists exclusively to prolong temporary shelter. To understand this, the next chapter details clearances.</w:t>
      </w:r>
    </w:p>
    <w:p>
      <w:r>
        <w:pict>
          <v:rect style="width:0;height:1.5pt" o:hralign="center" o:hrstd="t" o:hr="t"/>
        </w:pict>
      </w:r>
    </w:p>
    <w:bookmarkEnd w:id="23"/>
    <w:bookmarkStart w:id="24" w:name="chapter-4-the-execution-of-harm"/>
    <w:p>
      <w:pPr>
        <w:pStyle w:val="Heading1"/>
      </w:pPr>
      <w:r>
        <w:t xml:space="preserve">Chapter 4: The Execution of Harm</w:t>
      </w:r>
    </w:p>
    <w:p>
      <w:pPr>
        <w:pStyle w:val="FirstParagraph"/>
      </w:pPr>
      <w:r>
        <w:t xml:space="preserve">A standard sweep operation coordinates police units, deploys sanitation crews, and fills massive dumpsters to clear encampments. The sweep begins just before sunrise, targeting the unsheltered population before they wake. Moving rapidly, police and sanitation workers throw tents, personal property, and medications into waiting garbage trucks. Bulldozers push remaining debris into steel dumpsters to clear the ground, and the physical operation concludes within hours. Once the database logs completion of the sweep, the responsible city official considers the cleanup finished. No record tracks where the displaced individuals sleep that night.</w:t>
      </w:r>
    </w:p>
    <w:p>
      <w:pPr>
        <w:pStyle w:val="BodyText"/>
      </w:pPr>
      <w:r>
        <w:t xml:space="preserve">Public health agencies ignore medical literature documenting that dispersing encampments without housing increases disease, accelerates chronic conditions, and shortens life expectancy. To explain the mechanism, a sweep destroys the survival network that residents rely on. By destroying the camp, the city eliminates shared information about which emergency rooms ignore police, which food lines operate, and which neighbors administer first aid. Rebuilding this network after displacement takes weeks, exposing individuals to concentrated danger.</w:t>
      </w:r>
    </w:p>
    <w:p>
      <w:pPr>
        <w:pStyle w:val="BodyText"/>
      </w:pPr>
      <w:r>
        <w:t xml:space="preserve">Within established encampments, communities monitor for overdoses, administer naloxone, and call emergency services. By pushing individual users into isolated locations, encampment dispersal forces them to use drugs alone without support. In these isolated spaces, an overdose without witnesses produces a fatality. Conversely, an overdose inside an established camp where a neighbor notices and responds within minutes produces a survival. Displacement by sweeps converts survivable overdoses into deaths by removing the community that would otherwise intervene.</w:t>
      </w:r>
    </w:p>
    <w:p>
      <w:pPr>
        <w:pStyle w:val="BodyText"/>
      </w:pPr>
      <w:r>
        <w:t xml:space="preserve">The Washington federal enforcement campaign executed more than one hundred clearance operations between 2025 and 2026. Without coordination with outreach organizations, these operations proceeded without pre-arranged housing placements. Migrating into Maryland, northern Virginia, and other nearby jurisdictions, the displaced population carried unresolved medical conditions, reported psychiatric issues, and forced new jurisdictions to absorb the costs. During this clearance period, the Washington point-in-time count recorded a four percent increase in its total unhoused population.</w:t>
      </w:r>
    </w:p>
    <w:p>
      <w:pPr>
        <w:pStyle w:val="BodyText"/>
      </w:pPr>
      <w:r>
        <w:t xml:space="preserve">During the same period, Houston and Dallas pursued the opposite strategy and produced positive results. By deploying Assertive Community Treatment teams, Houston pre-matched each individual to a particular unit before clearing the site. To prevent displacement, physical clearance followed the housing placements. Through this sequencing, Houston achieved a sixty percent reduction in its unsheltered population. Dallas achieved a twenty-four percent reduction in its unhoused count by employing a similar model. By using encampments as contact points for outreach, both cities succeeded. Known as the Leaf Blower Effect, clearing encampments without simultaneous housing placement produces geographic redistribution only, severs established relationships, and extends engagement timelines by months. While street-clearing without destination causes dispersal, street-clearing with destination achieves housing placements, and resolution succeeds.</w:t>
      </w:r>
    </w:p>
    <w:p>
      <w:r>
        <w:pict>
          <v:rect style="width:0;height:1.5pt" o:hralign="center" o:hrstd="t" o:hr="t"/>
        </w:pict>
      </w:r>
    </w:p>
    <w:bookmarkEnd w:id="24"/>
    <w:bookmarkStart w:id="25" w:name="chapter-5-the-demographic-delusion"/>
    <w:p>
      <w:pPr>
        <w:pStyle w:val="Heading1"/>
      </w:pPr>
      <w:r>
        <w:t xml:space="preserve">Chapter 5: The Demographic Delusion</w:t>
      </w:r>
    </w:p>
    <w:p>
      <w:pPr>
        <w:pStyle w:val="FirstParagraph"/>
      </w:pPr>
      <w:r>
        <w:t xml:space="preserve">An outreach worker hands a housing application to a man experiencing acute schizophrenia and expects him to attend a scheduled appointment. Grouping structurally different populations under the label</w:t>
      </w:r>
      <w:r>
        <w:t xml:space="preserve"> </w:t>
      </w:r>
      <w:r>
        <w:t xml:space="preserve">“</w:t>
      </w:r>
      <w:r>
        <w:t xml:space="preserve">homeless</w:t>
      </w:r>
      <w:r>
        <w:t xml:space="preserve">”</w:t>
      </w:r>
      <w:r>
        <w:t xml:space="preserve"> </w:t>
      </w:r>
      <w:r>
        <w:t xml:space="preserve">creates the false impression of a monolithic group. This terminology implies that a single type of intervention will serve this population. The public believes that these diverse groups possess identical requirements, leading them to expect identical responses, remaining unaware of the reality of diverse clinical conditions. An individual evicted from an apartment and now living in a vehicle requires distinct interventions compared to a person experiencing a psychotic episode. These different cases require different clinical interventions, and lumping them together fails because the resulting interventions target the wrong problems.</w:t>
      </w:r>
    </w:p>
    <w:p>
      <w:pPr>
        <w:pStyle w:val="BodyText"/>
      </w:pPr>
      <w:r>
        <w:t xml:space="preserve">Applying a single intervention model remains clinically ineffective. When presenting conditions vary, emergency shelters deliver identical treatment. Rather than addressing particular individual needs, the monolithic shelter approach ignores clinical reality, accumulating failures across the region. Under this practice, shelter systems fail because they treat all individuals as if they share the same presenting conditions.</w:t>
      </w:r>
    </w:p>
    <w:p>
      <w:pPr>
        <w:pStyle w:val="BodyText"/>
      </w:pPr>
      <w:r>
        <w:t xml:space="preserve">Among the unsheltered, a segment of the population experiences biological and ontological collapse. Clinical teams call this group the deteriorating species. For these deteriorating individuals, the unhoused state has dissolved into a permanent street survival loop. Lacking a realistic exit strategy, they remain stuck. Written onto the body, the physical signature of this condition presents distinct clinical symptoms and continues to deteriorate.</w:t>
      </w:r>
    </w:p>
    <w:p>
      <w:pPr>
        <w:pStyle w:val="BodyText"/>
      </w:pPr>
      <w:r>
        <w:t xml:space="preserve">To live outside is to exist in a state of constant friction, energy-consuming labor, and ontological trauma. Through continuous daily mobility across municipal borders, the unhoused state causes ontological erosion. In the process of constant relocation, individuals lose unsecured possessions that they cannot carry, forcing them to restart their lives repeatedly. By forcing temporary occupations under the constant threat of police sweeps, relocation disrupts life. In this environment, reliance on public outlets for electricity makes safety dependent on battery life.</w:t>
      </w:r>
    </w:p>
    <w:p>
      <w:pPr>
        <w:pStyle w:val="BodyText"/>
      </w:pPr>
      <w:r>
        <w:t xml:space="preserve">In the design of the average shelter, planners build open-floor warehouses that sleep many individuals in close proximity. To maintain a job, a resident must sleep near individuals experiencing drug withdrawal, hyper-vigilance, and violence. The working resident suffers job loss when deprived of rest. By recording both the intake and the subsequent return as separate successful interventions, the city counts every shelter rotation as success. Inside this loop, the individual remains trapped.</w:t>
      </w:r>
    </w:p>
    <w:p>
      <w:pPr>
        <w:pStyle w:val="BodyText"/>
      </w:pPr>
      <w:r>
        <w:t xml:space="preserve">To hide these failures, service organizations report statistics that merge different demographics. By combining temporary financial relief outcomes with chronic untreated schizophrenia outcomes, the reporting system dilutes the data beyond recognition. Families receive rental payments, individuals with schizophrenia count in the same aggregate, and the reporting method hides failure. This deception prevents reform.</w:t>
      </w:r>
    </w:p>
    <w:p>
      <w:pPr>
        <w:pStyle w:val="BodyText"/>
      </w:pPr>
      <w:r>
        <w:t xml:space="preserve">Far from a monolith, the unsheltered population contains structurally distinct groups that require different interventions. Due to divergent clinical needs, they share no common requirements. Psychiatric literature shows that anosognosia affects 50 to 80% of individuals with schizophrenia spectrum disorders, preventing them from recognizing their own clinical needs. To resolve this structural crisis, the next chapter breaks the unsheltered population into its constituent components and specifies their requirements. For the deteriorating species, effective clinical interventions require metabolic stabilization before other steps.</w:t>
      </w:r>
    </w:p>
    <w:p>
      <w:r>
        <w:pict>
          <v:rect style="width:0;height:1.5pt" o:hralign="center" o:hrstd="t" o:hr="t"/>
        </w:pict>
      </w:r>
    </w:p>
    <w:bookmarkEnd w:id="25"/>
    <w:bookmarkStart w:id="26" w:name="chapter-6-the-pipeline-calculus"/>
    <w:p>
      <w:pPr>
        <w:pStyle w:val="Heading1"/>
      </w:pPr>
      <w:r>
        <w:t xml:space="preserve">Chapter 6: The Pipeline Calculus</w:t>
      </w:r>
    </w:p>
    <w:p>
      <w:pPr>
        <w:pStyle w:val="FirstParagraph"/>
      </w:pPr>
      <w:r>
        <w:t xml:space="preserve">According to the 2025 point-in-time count, Los Angeles County counts approximately seventy-five thousand unhoused individuals. On any given night, roughly forty-seven thousand sleep outside. By relying on ground-level counting methods, standard surveys systematically miss the hidden riparian population. The taxonomy operates as a dynamic system. Individuals move between pipelines as their personal stability fluctuates. Planners must route individuals to the correct pipeline. Misrouting any one of these populations wastes resources, delays resolution, and compounds harm. Following the current trajectory, Los Angeles will replicate the path of San Francisco.</w:t>
      </w:r>
    </w:p>
    <w:p>
      <w:pPr>
        <w:pStyle w:val="BodyText"/>
      </w:pPr>
      <w:r>
        <w:t xml:space="preserve">Experiencing temporary economic displacement, approximately twelve thousand two hundred individuals belong in Pipeline A. Through sudden financial shock, these individuals lost housing due to medical emergencies, job loss, evictions, or discharge from institutions without transitional placement. Retaining intact social functioning, these individuals carry neurological systems undamaged by street exposure. To obtain housing, they engage with local systems. For this group, immediate financial intervention, rapid unit placement, and minimal bureaucratic friction resolves the crisis. This population requires zero clinical stabilization.</w:t>
      </w:r>
    </w:p>
    <w:p>
      <w:pPr>
        <w:pStyle w:val="BodyText"/>
      </w:pPr>
      <w:r>
        <w:t xml:space="preserve">Within Pipeline B, approximately sixteen thousand five hundred individuals have built entrenched survival relationships within their camp communities. Although some manage psychiatric diagnoses or substance dependence, these individuals retain the cognitive capacity to evaluate housing offers. To protect stability, they refuse existing shelters due to forced separation from animal companions, separation from intimate partners, and the threat of losing personal possessions. By removing these barriers, Houston’s Assertive Community Treatment program achieved fifty-eight to seventy percent encampment-level acceptance rates. These individuals accept housing placements when providers eliminate restrictive entrance conditions.</w:t>
      </w:r>
    </w:p>
    <w:p>
      <w:pPr>
        <w:pStyle w:val="BodyText"/>
      </w:pPr>
      <w:r>
        <w:t xml:space="preserve">Constituting the core of the street crisis, Pipeline C contains approximately sixteen thousand individuals. This population suffers from schizophrenia spectrum disorders, methamphetamine-induced neurological damage, and untreated psychosis lasting five to fifteen years. Psychiatric literature defines anosognosia as the organic neurological inability of a patient to perceive their own illness. Generated by the frontal lobe damage that produces psychosis, anosognosia affects fifty to eighty percent of individuals with schizophrenia. The disease destroys cognitive faculties, rendering persuasion-based outreach ineffective. Pipeline C requires sustained Assertive Community Treatment over twelve to twenty-four months, court-supervised compelled treatment pathways, and regular clinical monitoring.</w:t>
      </w:r>
    </w:p>
    <w:p>
      <w:pPr>
        <w:pStyle w:val="BodyText"/>
      </w:pPr>
      <w:r>
        <w:t xml:space="preserve">Living in riparian corridors, flood control channels, and storm drains, a sub-category of Pipeline C remains uncounted by standard methods. By deploying thermal drone mapping equipped with Forward Looking Infrared sensors, researchers identified massive encampment populations nested within the Los Angeles River corridor, Ballona Creek, and Santa Ana River. This mapping costs tens of thousands of dollars. Across all evidence-based programs, the voluntary housing acceptance rate for these hidden riparian sub-populations peaks at thirty percent. By contaminating these waterways with fecal coliform bacteria at concentrations that exceed Clean Water Act permit standards, the encampments violate federal regulations. In California, the 2018 Santa Ana River County cleanup serves as the operational precedent. Under Clean Water Act provisions, this environmental contamination provides a legal mandate for camp abatement.</w:t>
      </w:r>
    </w:p>
    <w:p>
      <w:pPr>
        <w:pStyle w:val="BodyText"/>
      </w:pPr>
      <w:r>
        <w:t xml:space="preserve">Accounting for approximately two thousand three hundred individuals, Pipeline D represents a population that rejects institutional structures based on personal preference. Through outdoor living and informal economies, they maintain an independent lifestyle. Remaining clinically stable, their street communities provide social bonds, mutual protection, and terrain survival competence. To address physiological needs, outreach provides hygiene, nutrition, wound care, and needle exchanges without behavioral preconditions.</w:t>
      </w:r>
    </w:p>
    <w:p>
      <w:r>
        <w:pict>
          <v:rect style="width:0;height:1.5pt" o:hralign="center" o:hrstd="t" o:hr="t"/>
        </w:pict>
      </w:r>
    </w:p>
    <w:bookmarkEnd w:id="26"/>
    <w:bookmarkStart w:id="27" w:name="chapter-7-the-sanitation-metaphor"/>
    <w:p>
      <w:pPr>
        <w:pStyle w:val="Heading1"/>
      </w:pPr>
      <w:r>
        <w:t xml:space="preserve">Chapter 7: The Sanitation Metaphor</w:t>
      </w:r>
    </w:p>
    <w:p>
      <w:pPr>
        <w:pStyle w:val="FirstParagraph"/>
      </w:pPr>
      <w:r>
        <w:t xml:space="preserve">During the summer of 1854, a cholera outbreak erupted in the Soho district of London. The epidemic killed more than six hundred people within weeks, creating a biological emergency that paralyzed the city. Medical authorities blamed miasma, defining disease transmission through foul air arising from decaying organic material. To respond to this threat, city officials distributed instructional pamphlets and preached personal hygiene while ignoring the contaminated water supply. While politicians preached moral cleanliness, residents continued drinking water laced with the cholera bacterium. The death toll climbed.</w:t>
      </w:r>
    </w:p>
    <w:p>
      <w:pPr>
        <w:pStyle w:val="BodyText"/>
      </w:pPr>
      <w:r>
        <w:t xml:space="preserve">Physician John Snow mapped the cholera fatalities to verify their water sources. His investigation revealed that the deaths clustered around a single public water pump on Broad Street. Armed with this physical evidence, the local council removed the pump handle. Within days, the localized cholera outbreak ended. This mechanical intervention proved that physical engineering resolves public health crises where moral instruction fails. Between 1859 and 1870, engineer Joseph Bazalgette constructed an underground sewer infrastructure to protect the population. Separating human waste from drinking water eradicated cholera. The physical infrastructure saved the city.</w:t>
      </w:r>
    </w:p>
    <w:p>
      <w:pPr>
        <w:pStyle w:val="BodyText"/>
      </w:pPr>
      <w:r>
        <w:t xml:space="preserve">Modern municipal governments respond to chronic homelessness through distinct operational instruments. By deploying outreach workers, coordinating law enforcement sweeps, and cleaning encampments, authorities police the public space. Throughout these clearance operations, the physical causes of human deterioration remain intact. These interventions manage the visual symptoms of the crisis while guaranteeing its continuation.</w:t>
      </w:r>
    </w:p>
    <w:p>
      <w:pPr>
        <w:pStyle w:val="BodyText"/>
      </w:pPr>
      <w:r>
        <w:t xml:space="preserve">In the modern context, the absence of metabolic stabilization infrastructure guarantees chronic street homelessness and accumulated institutional failures. Without this foundational layer, the housing system collapses. The city bypasses physiological capacity by delivering permanent housing to individuals before they achieve basic biological stability. Under this model, predictable housing failures become recorded as evidence of population intractability. This data serves to justify existing policies. Rather than correcting the flawed infrastructure, the system blames the vulnerable population. The bureaucracy protects itself.</w:t>
      </w:r>
    </w:p>
    <w:p>
      <w:pPr>
        <w:pStyle w:val="BodyText"/>
      </w:pPr>
      <w:r>
        <w:t xml:space="preserve">The Material Dignity Infrastructure proposes a physical solution scaled to resolve the crisis. The system requires building dedicated metabolic stabilization facilities to bridge the physiological gap. Emergency shelters can act as a temporary stopgap, but only permanent metabolic infrastructure resolves the biological collapse. We must build the sewers.</w:t>
      </w:r>
    </w:p>
    <w:p>
      <w:r>
        <w:pict>
          <v:rect style="width:0;height:1.5pt" o:hralign="center" o:hrstd="t" o:hr="t"/>
        </w:pict>
      </w:r>
    </w:p>
    <w:bookmarkEnd w:id="27"/>
    <w:bookmarkStart w:id="28" w:name="X5b133c5411010f2935b8946cfd07b689b94618b"/>
    <w:p>
      <w:pPr>
        <w:pStyle w:val="Heading1"/>
      </w:pPr>
      <w:r>
        <w:t xml:space="preserve">Chapter 8: Phase Zero: Metabolic Stabilization</w:t>
      </w:r>
    </w:p>
    <w:p>
      <w:pPr>
        <w:pStyle w:val="FirstParagraph"/>
      </w:pPr>
      <w:r>
        <w:t xml:space="preserve">By placing a person immediately from the street into a permanent apartment, the system delivers a stable environment to a nervous system habituated to threat exposure. In these enclosed spaces, panic triggers in individuals habituated to open environments where escape routes are visible. Behavioral issues occur without a prior repair sequence. Through actions such as stripping copper wiring, inviting encampment contacts, and abandoning leases, the housing placement fails. Under this system, behavioral failures are the physical consequence of placing a person in a maintenance state before concluding the repair sequence.</w:t>
      </w:r>
    </w:p>
    <w:p>
      <w:pPr>
        <w:pStyle w:val="BodyText"/>
      </w:pPr>
      <w:r>
        <w:t xml:space="preserve">To bridge this gap, Phase Zero operates as a clinical staging period between street living and permanent housing. Running for sixty to ninety days, the program occurs in licensed Mental Health Rehabilitation Center facilities. By deploying these facilities as sub-sixteen-unit clusters within the Skid Row zone, avoiding the federal Exclusion rule, and filing independent licensure, the system operates. To prevent bottlenecks, the stabilization protocol runs a three-track architecture consisting of a seven to fourteen day rapid track, a thirty to sixty day standard track, and a sixty to one hundred and twenty day extended track. To manage surges, the ground floor clinical node maintains a fifteen percent overflow capacity using temporary decompression units. Under the federal Exclusion rule, psychiatric facilities with more than fifteen beds are disqualified from Medi-Cal billing. To obtain funding, each fifteen-bed cluster files an independent licensure application. By billing Medi-Cal as sub-acute specialty mental health facilities, clusters qualify for approximately fifty percent federal matching funds. The stabilization episode costs approximately fifteen thousand dollars per resident. Through federal matching funds, the program receives approximately seven thousand five hundred dollars per resident to offset local expenditures. Without requiring new legislation, the cluster model operates within existing law.</w:t>
      </w:r>
    </w:p>
    <w:p>
      <w:pPr>
        <w:pStyle w:val="BodyText"/>
      </w:pPr>
      <w:r>
        <w:t xml:space="preserve">To initiate treatment, the clinical protocol targets four biological systems in a particular, pre-defined clinical sequence that avoids error. During hours zero through four, staff prioritize electrolyte solutions. Due to the risk of fatal cerebral edema from rapid water reintroduction in sodium-depleted individuals, the timing remains critical. Clinicians introduce nutritional support during hours four through twenty-four. By preventing rapid carbohydrate reintroduction in malnourished individuals, the protocol avoids electrolyte shifts and cardiac arrhythmia. For individuals with a Body Mass Index below sixteen, a gradual food reintroduction sequence is mandatory.</w:t>
      </w:r>
    </w:p>
    <w:p>
      <w:pPr>
        <w:pStyle w:val="BodyText"/>
      </w:pPr>
      <w:r>
        <w:t xml:space="preserve">During hours twenty-four through seventy-two, the clinical focus shifts to wound care, infection treatment, and sleep initiation under acoustic isolation. By deploying modules built to a Sound Transmission Class 65 acoustic specification, Phase Zero isolates the patient. On the street, sirens prevent restorative sleep. When sensory overload combines with law enforcement contact, panic eruptions occur and to disrupt stabilization. Acoustic enclosures decelerate the patient’s nervous system. Following this initial stabilization, the clinical team opens the psychiatric assessment window between days twenty-four and seventy-two. Attempting psychiatric evaluation before day twenty-four produces false assessments, as dehydration, malnutrition, and lack of sleep suppress the patient’s neurological baseline.</w:t>
      </w:r>
    </w:p>
    <w:p>
      <w:pPr>
        <w:pStyle w:val="BodyText"/>
      </w:pPr>
      <w:r>
        <w:t xml:space="preserve">To qualify for graduation, a person must meet at least two of five measurable functional indicators within the sixty to ninety day window. Across the stabilization period, staff track these markers. The five functional indicators consist of sustained hygiene maintenance without staff prompting, six or more hours of uninterrupted sleep without pharmacological support, consistent orientation to person, place, and date, participation in at least one structured group activity per day, and independent initiation of at least one daily living task. By meeting these indicators, the resident proves readiness for a residential lease.</w:t>
      </w:r>
    </w:p>
    <w:p>
      <w:r>
        <w:pict>
          <v:rect style="width:0;height:1.5pt" o:hralign="center" o:hrstd="t" o:hr="t"/>
        </w:pict>
      </w:r>
    </w:p>
    <w:bookmarkEnd w:id="28"/>
    <w:bookmarkStart w:id="29" w:name="chapter-9-the-field-architecture"/>
    <w:p>
      <w:pPr>
        <w:pStyle w:val="Heading1"/>
      </w:pPr>
      <w:r>
        <w:t xml:space="preserve">Chapter 9: The Field Architecture</w:t>
      </w:r>
    </w:p>
    <w:p>
      <w:pPr>
        <w:pStyle w:val="FirstParagraph"/>
      </w:pPr>
      <w:r>
        <w:t xml:space="preserve">By deploying volunteers on a single night in January, the Los Angeles Homeless Services Authority’s point-in-time count estimates the number of people sleeping outside. Through this aggregate count, the survey ignores names, medical histories, behavioral patterns, survival anchors, or preferred locations. The system ignores reasons for individual long-term homelessness under this methodology. To address the crisis, planners require names, detailed histories, and established accountability.</w:t>
      </w:r>
    </w:p>
    <w:p>
      <w:pPr>
        <w:pStyle w:val="BodyText"/>
      </w:pPr>
      <w:r>
        <w:t xml:space="preserve">To replace this aggregate count, the By-Name HMIS Registry builds a database. During a six-month pre-operation period, field documentation teams build files for unhoused individuals within the Skid Row target zone. By recording a name, GPS location patterns, survival anchors, and assigning pipeline classifications, the system builds individual files. The shared database updates in real time under MDI Stewardship Authority management. When an individual moves locations, the database updates immediately.</w:t>
      </w:r>
    </w:p>
    <w:p>
      <w:pPr>
        <w:pStyle w:val="BodyText"/>
      </w:pPr>
      <w:r>
        <w:t xml:space="preserve">Houston’s HMIS network spans more than one hundred partner agencies through a unified database. By deploying this system, Houston achieved a sixty percent encampment reduction. In terms of coordination, a unified database preserves relationship histories, coordinates different agencies, and tracking staff transitions. Instead of treating clients as unknowns, the system maintains contact.</w:t>
      </w:r>
    </w:p>
    <w:p>
      <w:pPr>
        <w:pStyle w:val="BodyText"/>
      </w:pPr>
      <w:r>
        <w:t xml:space="preserve">To execute this registry in the field, the Assertive Community Treatment team manages caseloads of eighty to one hundred twenty Pipeline C individuals. A standard field team of seven to eight full-time equivalents carries this field caseload. Consisting of redundant staffing coverage, the team includes one mobile psychiatrist, one registered nurse, one licensed social worker, one outreach case manager, one peer support specialist, one substance use counselor, and one team coordinator. To offset the twenty to thirty percent annual staff turnover, the MDI standard mandates a twenty percent staffing buffer. To prevent trust cycles from resetting when staff transition, two or more staff members share relationship responsibility for every resident. Through redundancy, the team prevents relationship disruption. By deploying peer specialists, the system establishes initial contact, manages paranoid presentations, and produces outreach success. Following this initial engagement, psychiatrists and social workers follow the relationship established by the peer specialist to maintain clinical continuity.</w:t>
      </w:r>
    </w:p>
    <w:p>
      <w:pPr>
        <w:pStyle w:val="BodyText"/>
      </w:pPr>
      <w:r>
        <w:t xml:space="preserve">To build trust, initial contacts provide coffee, food, wound care, and harm reduction materials. By maintaining a predictable schedule of visits, teams lower the threat-perception baseline. Following initial engagement, medical interventions begin with wound treatment, continue with medication assistance, and follow-up housing offers. After identifying behavioral signals of willingness, teams present housing offers. In most cases, these signals follow traumatic encampment events such as nearby deaths or violence. Voluntary transit from street to housing occurs primarily within a forty-eight to seventy-two hour window following an acute crisis event.</w:t>
      </w:r>
    </w:p>
    <w:p>
      <w:pPr>
        <w:pStyle w:val="BodyText"/>
      </w:pPr>
      <w:r>
        <w:t xml:space="preserve">To eliminate bureaucratic delay, the Document-Ready Protocol requires pre-assembling all intake forms before the team makes the offer. The housing offer includes a pre-confirmed unit number in the HMIS database. Prior to the conversation, teams reserve kennel spaces for animal companions. By photographing possessions, tagging items, and deploying GPS-tracking, teams protect possessions in storage accessible by RFID card. Through this pre-operations sequencing, the individual moves immediately into the housing unit.</w:t>
      </w:r>
    </w:p>
    <w:p>
      <w:r>
        <w:pict>
          <v:rect style="width:0;height:1.5pt" o:hralign="center" o:hrstd="t" o:hr="t"/>
        </w:pict>
      </w:r>
    </w:p>
    <w:bookmarkEnd w:id="29"/>
    <w:bookmarkStart w:id="30" w:name="chapter-10-the-legal-lever-system"/>
    <w:p>
      <w:pPr>
        <w:pStyle w:val="Heading1"/>
      </w:pPr>
      <w:r>
        <w:t xml:space="preserve">Chapter 10: The Legal Lever System</w:t>
      </w:r>
    </w:p>
    <w:p>
      <w:pPr>
        <w:pStyle w:val="FirstParagraph"/>
      </w:pPr>
      <w:r>
        <w:t xml:space="preserve">Produced by frontal lobe damage, anosognosia is a neurological incapacity to perceive one’s own psychiatric condition or recognize clinical deterioration. Individuals cannot process the fact that they are in danger under this clinical condition. By treating the absence of voluntary consent as a binding constraint, ignoring clinical reality, and allowing individual deterioration, the system fails. To resolve this gridlock, policy must bypass consent.</w:t>
      </w:r>
    </w:p>
    <w:p>
      <w:pPr>
        <w:pStyle w:val="BodyText"/>
      </w:pPr>
      <w:r>
        <w:t xml:space="preserve">Established under the Community Assistance, Recovery, and Empowerment Act of 2023, California’s CARE Court became operational across all fifty-eight counties by 2024. By targeting adults with schizophrenia spectrum disorders, other psychotic conditions, and bipolar disorder with psychotic features added in early 2026, the law addresses the gap. Under these statutory rules, families, roommates, first responders, healthcare providers, or the MDI Stewardship Authority petition the court. Upon review, the court establishes a twelve to twenty-four month CARE Agreement. Designed as a court-monitored community treatment plan, the agreement specifies housing units, medication compliance, and clinical support wrapped around the individual. Individuals remain in the community under low-restriction supervision to prevent hospitalization within this community treatment design. To manage long-term expectations, the MDI model assumes that only fifteen to twenty-five percent of the Pipeline C cohort will successfully traverse these court-mandated pathways.</w:t>
      </w:r>
    </w:p>
    <w:p>
      <w:pPr>
        <w:pStyle w:val="BodyText"/>
      </w:pPr>
      <w:r>
        <w:t xml:space="preserve">To support this process, the MDI Stewardship Authority’s by-name HMIS registry provides behavioral records, documented psychosis, dangerous behavior, and recorded service refusals. The Stewardship Authority files petitions independently as an authorized petitioning entity. By deploying this unified data, the registry triggers legal action for individuals without involved family representation.</w:t>
      </w:r>
    </w:p>
    <w:p>
      <w:pPr>
        <w:pStyle w:val="BodyText"/>
      </w:pPr>
      <w:r>
        <w:t xml:space="preserve">Under Laura’s Law, Assisted Outpatient Treatment operates as a civil court order mandating medication compliance and outpatient clinical engagement. To qualify for this intervention, individuals must have a history of treatment non-compliance, prior psychiatric hospitalization, incarceration, or to document threats of violence. Non-compliance triggers civil court review rather than criminal charges. By drawing from the HMIS registry’s history of hospitalizations and system contacts, petitions proceed without requiring new investigations. In terms of graduation, successful AOT completion serves as a prerequisite for transitioning out of specialized housing programs and achieving autonomy.</w:t>
      </w:r>
    </w:p>
    <w:p>
      <w:pPr>
        <w:pStyle w:val="BodyText"/>
      </w:pPr>
      <w:r>
        <w:t xml:space="preserve">To address the most severe cases, Lanterman-Petris-Short Conservatorship applies to individuals deemed gravely disabled and unable to provide for their own food, clothing, or shelter. Under the Senate Bill 43 expansion, the law expanded qualifying conditions to include severe substance use disorders. By appointing a conservator, the court authorizes another person to make medical and housing decisions on behalf of the individual. The conservator can accept an Adaptive Long-term Medical Unit placement through this authority. As conditions improve, ongoing conservatorship review restores legal autonomy, and to sustain clinical progress.</w:t>
      </w:r>
    </w:p>
    <w:p>
      <w:pPr>
        <w:pStyle w:val="BodyText"/>
      </w:pPr>
      <w:r>
        <w:t xml:space="preserve">To deploy modular units, the MDI modular unit must be legally classified as deployable emergency medical equipment under a Metropolitan Stabilization Node designation in the state health code. The Stewardship Authority executes master leases with the Army Corps of Engineers or Department of Defense on federal land to bypass municipal zoning blocks. Under this emergency medical classification, units deploy, and bypass local restrictions.</w:t>
      </w:r>
    </w:p>
    <w:p>
      <w:r>
        <w:pict>
          <v:rect style="width:0;height:1.5pt" o:hralign="center" o:hrstd="t" o:hr="t"/>
        </w:pict>
      </w:r>
    </w:p>
    <w:bookmarkEnd w:id="30"/>
    <w:bookmarkStart w:id="31" w:name="X0a7751dfc6fb9cd8afede3f1d1cdeda42113662"/>
    <w:p>
      <w:pPr>
        <w:pStyle w:val="Heading1"/>
      </w:pPr>
      <w:r>
        <w:t xml:space="preserve">Chapter 11: Vertical Engineering and Adaptive Reuse</w:t>
      </w:r>
    </w:p>
    <w:p>
      <w:pPr>
        <w:pStyle w:val="FirstParagraph"/>
      </w:pPr>
      <w:r>
        <w:t xml:space="preserve">With five-year timelines for zoning approvals, environmental reviews, and financing negotiations, traditional construction moves slowly. Raw land acquisition raises the cost of newly constructed units to over six hundred thousand dollars in downtown Los Angeles. Without a different acquisition mechanism, building from scratch becomes unworkable. To bypass these limitations, developers must pivot toward existing structures.</w:t>
      </w:r>
    </w:p>
    <w:p>
      <w:pPr>
        <w:pStyle w:val="BodyText"/>
      </w:pPr>
      <w:r>
        <w:t xml:space="preserve">Following the mass loss of corporate tenants between 2020 and 2025, commercial real estate high-rises faced vacancy. In downtown Los Angeles, One California Plaza defaulted on its three-hundred-million-dollar loan and entered receivership. The market price of One California Plaza collapsed to approximately one hundred and twenty dollars per square foot during this default period. Operating under a TVA-modeled civic charter, the MDI Stewardship Authority exercises state police power authority. Through receivership acquisitions, the Stewardship Authority acquires defaulted properties at floor prices. By executing this acquisition mechanism, the Stewardship Authority purchases One California Plaza’s one million square feet for one hundred and twenty million dollars.</w:t>
      </w:r>
    </w:p>
    <w:p>
      <w:pPr>
        <w:pStyle w:val="BodyText"/>
      </w:pPr>
      <w:r>
        <w:t xml:space="preserve">Located at 300 South Grand Avenue in the Financial District, One California Plaza sits adjacent to Skid Row. With a million-square-foot floor plate, the building offers massive scale. Under the adaptive reuse process, workers strip the interior down to concrete pillars, expose the structural skeleton, and avoid demolition. To support residential density, conversions upgrade electrical systems, plumbing, and mechanical risers. The MDI tower model requires a minimum ceiling clearance of nine feet to support the raised utility run plenum. To permit modular ALMU installation without structural reinforcement, the building floor plate must support a live load of eighty pounds per square foot. By maintaining existing HVAC infrastructure, elevator banks, and structural systems, the project saves massive capital. To finalize the conversion, the schedule targets a residential occupancy certificate within twelve months of structural acquisition.</w:t>
      </w:r>
    </w:p>
    <w:p>
      <w:pPr>
        <w:pStyle w:val="BodyText"/>
      </w:pPr>
      <w:r>
        <w:t xml:space="preserve">The buildout constructs two thousand ALMU units inside the stripped structural shell. To maximize private space, each ALMU contains one hundred and fifty net square feet. For interior finishes, designers select matte birch plywood paneling, stone-texture wall surfaces, and eliminate institutional white paint. In terms of gross residential footprint, each unit consumes four hundred square feet. By allocating two hundred and fifty square feet per unit to common areas, the plan builds circulation corridors, pod biophilic nodes, common kitchens, elevator lobbies, and mechanical chases. To establish social cohesion, the tower’s twenty-eight elevators divide into thirteen loops, one per Dunbar Pod.</w:t>
      </w:r>
    </w:p>
    <w:p>
      <w:pPr>
        <w:pStyle w:val="BodyText"/>
      </w:pPr>
      <w:r>
        <w:t xml:space="preserve">Across three cost categories, the total prototype capital expenditure reaches one hundred and ninety-five million dollars. To acquire the structure, the MDI Stewardship Authority spends one hundred and twenty million dollars. For the remaining buildout, the project allocates fifty million dollars for two thousand residential modules costing twenty-five thousand dollars per unit, twenty-five million for physical plant upgrades including Sound Transmission Class sixty-five acoustic upgrades, HVAC modifications, cistern installation, and backup systems installation. To provide backup power, a hydrogen or dual-fuel generator system operates under a ninety-six-hour mandate. Basement levels hold a five-hundred-and-sixty-thousand-gallon cistern. Following tower activation, the Stewardship Authority recovers the total capital investment within twenty-nine months through the efficiency surplus.</w:t>
      </w:r>
    </w:p>
    <w:p>
      <w:r>
        <w:pict>
          <v:rect style="width:0;height:1.5pt" o:hralign="center" o:hrstd="t" o:hr="t"/>
        </w:pict>
      </w:r>
    </w:p>
    <w:bookmarkEnd w:id="31"/>
    <w:bookmarkStart w:id="32" w:name="chapter-12-the-ontological-architecture"/>
    <w:p>
      <w:pPr>
        <w:pStyle w:val="Heading1"/>
      </w:pPr>
      <w:r>
        <w:t xml:space="preserve">Chapter 12: The Ontological Architecture</w:t>
      </w:r>
    </w:p>
    <w:p>
      <w:pPr>
        <w:pStyle w:val="FirstParagraph"/>
      </w:pPr>
      <w:r>
        <w:t xml:space="preserve">By demanding that individuals surrender three primary survival anchors as the price of admission, existing shelters generate rational refusal. Under these requirements, residents must abandon their animal companions, intimate partners, and personal possessions. As animal companions provide emotional regulation, they act as critical supports. To reduce the risk of violence, theft, and exposure mortality, intimate partners remain together on the street. Accumulated possessions represent the whole of their remaining material capital rather than representing clutter. For these individuals, surrendering these anchors means surrendering survival.</w:t>
      </w:r>
    </w:p>
    <w:p>
      <w:pPr>
        <w:pStyle w:val="BodyText"/>
      </w:pPr>
      <w:r>
        <w:t xml:space="preserve">To resolve the pet barrier, the MDI tower features a professionally managed kennel facility on the second floor. Climate-controlled runs guarantee safety. Through acoustic and environmental engineering, the kennel remains sound-dampened, odor-managed, and ventilated. From six in the morning until ten at night, residents enjoy unrestricted visits. By partnering with an on-site non-profit veterinary clinic, the facility provides medical care, vaccinations, behavioral assessments, and spay-neuter services.</w:t>
      </w:r>
    </w:p>
    <w:p>
      <w:pPr>
        <w:pStyle w:val="BodyText"/>
      </w:pPr>
      <w:r>
        <w:t xml:space="preserve">To accommodate couples, the Stewardship Authority assigns partners two adjacent ALMUs within the same Dunbar Pod matched through the HMIS system. Behind separate locked doors positioned side by side, individuals maintain their own private sovereign space while remaining near their partners. To protect possessions, the building features individual ground-floor storage bays. By photographing, GPS-tagging, and using personal RFID cards for access, the system protects resident property. Staff members cannot access storage bays without the resident’s consent under this security model.</w:t>
      </w:r>
    </w:p>
    <w:p>
      <w:pPr>
        <w:pStyle w:val="BodyText"/>
      </w:pPr>
      <w:r>
        <w:t xml:space="preserve">Designed as a clinical instrument, the ALMU contains one hundred and fifty net square feet of private space. Behind a solid-core entry door with a Sound Transmission Class sixty-five acoustic frame and rubber threshold seal, the resident finds privacy. To achieve a Sound Transmission Class rating of sixty-five, the modular unit features structural isolation hangers that decouple the interior framing from the building core. To maximize floor space, a Murphy wall-bed folds flat to return approximately thirty-five square feet. To support utility, a wall-mounted fold-down desk features seated and standing configurations. For meal preparation, each unit features kitchen amenities including a one-point-seven cubic foot mini-refrigerator, an induction cooktop, and a microwave alcove. Under strict fire safety codes, the building prohibits gas cooking in the ALMU. To store clothing, the ALMU features a wardrobe column twelve inches deep and twenty-four inches wide. To establish full sanitary sovereignty, the private wet bath requires a twenty-eight to thirty-two square foot footprint, containing a toilet, wall-mounted sink, showerhead, and sloped floor draining. Drawing from a solar thermal pre-heated supply, residents control their own water temperature. Communal hygiene facilities are eliminated from the architecture.</w:t>
      </w:r>
    </w:p>
    <w:p>
      <w:pPr>
        <w:pStyle w:val="BodyText"/>
      </w:pPr>
      <w:r>
        <w:t xml:space="preserve">Circadian LED ceiling panels simulate daylight cycles to address windowless interior units. Occupying perimeter positions, perimeter ALMUs feature full-height commercial glazing with floor-to-ceiling views of the sky. By deploying this programmable lighting, the design counters seasonal affective disorder, reduces sleep disruption, and restored circadian rhythms.</w:t>
      </w:r>
    </w:p>
    <w:p>
      <w:r>
        <w:pict>
          <v:rect style="width:0;height:1.5pt" o:hralign="center" o:hrstd="t" o:hr="t"/>
        </w:pict>
      </w:r>
    </w:p>
    <w:bookmarkEnd w:id="32"/>
    <w:bookmarkStart w:id="33" w:name="chapter-13-the-cybernetic-grid"/>
    <w:p>
      <w:pPr>
        <w:pStyle w:val="Heading1"/>
      </w:pPr>
      <w:r>
        <w:t xml:space="preserve">Chapter 13: The Cybernetic Grid</w:t>
      </w:r>
    </w:p>
    <w:p>
      <w:pPr>
        <w:pStyle w:val="FirstParagraph"/>
      </w:pPr>
      <w:r>
        <w:t xml:space="preserve">Designed for a two-thousand-unit residential tower operating at ninety percent occupancy, the cybernetic grid optimizes labor. Under conventional supportive housing models, facilities spend operating budgets on physical plant maintenance, sanitation, and security. To control costs, the MDI model uses automated systems for functions outside human judgment, relationship-building, or emotional intelligence. By allocating mechanical tasks to automated systems, human staff perform the remaining operations. This division guarantees operational efficiency and budget stability.</w:t>
      </w:r>
    </w:p>
    <w:p>
      <w:pPr>
        <w:pStyle w:val="BodyText"/>
      </w:pPr>
      <w:r>
        <w:t xml:space="preserve">To execute automated cleaning, the tower deploys the Scrubber 50 robotic platform. Classified as an ISO 3741-compliant cleaning unit, the platform achieves eighty percent water recycling efficiency during standard operations. Under EN IEC 63327 compliance rules, public safety certification remains mandatory. Robotic cleaners operate across all common circulation corridors, elevator lobbies, and shared social floor surfaces. During biological waste events, the automated response requires Pod Steward authorization before dispatching these specialized units. Under the Swarm Integration Protocol, residents volunteer for a Robotic Swarm Supervisor role to shadow and help coordinate the robotic cleaning cycle. By engaging residents in robotic supervision, the system reduces the total operating budget, builds familiarity with automated platforms, and reduces paranoid threat perception.</w:t>
      </w:r>
    </w:p>
    <w:p>
      <w:pPr>
        <w:pStyle w:val="BodyText"/>
      </w:pPr>
      <w:r>
        <w:t xml:space="preserve">To prevent behavioral profiling of unhoused individuals, sensor telemetry follows a strict data minimization protocol. From the ALMU, the system exports a binary safety signal. To guarantee that raw acoustic or video data never leaves the unit boundary, the modular unit features localized edge compute modules that analyze health telemetry within the unit. By processing environmental data locally, the system monitors sound levels, tracks movement patterns, and recording temperature readings. The local system purges all processed environmental data within twenty-four hours under this protocol. If the sensor detects zero movement inside a unit for twenty-four consecutive hours, the grid triggers a Pod Steward notification for a face-to-face welfare check.</w:t>
      </w:r>
    </w:p>
    <w:p>
      <w:pPr>
        <w:pStyle w:val="BodyText"/>
      </w:pPr>
      <w:r>
        <w:t xml:space="preserve">To provide human oversight, one credentialed peer support specialist with lived experience of homelessness or psychiatric illness serves as Pod Steward for each Dunbar Pod. Living in a unit within the pod, the Steward supports one hundred and fifty-four residents. By executing recognition protocols, the Steward knows residents by name, monitors behavioral baselines, and chairs monthly meetings. During monthly Pod Council meetings, residents collectively schedule common spaces. Residents access opt-in communication through the Digital Pod Channel that is inaccessible to the Stewardship Authority without resident consent and Board approval.</w:t>
      </w:r>
    </w:p>
    <w:p>
      <w:pPr>
        <w:pStyle w:val="BodyText"/>
      </w:pPr>
      <w:r>
        <w:t xml:space="preserve">To fund this cybernetic infrastructure, Measure Alpha allocates 1.587 percent of its eight-hundred-and-forty-three-million-dollar proposed budget. Yielding thirteen million three hundred and eighty thousand dollars annually, this allocation covers telemetry hardware, robotic maintenance, and cybernetic infrastructure. To maintain oversight, an independent Privacy Audit Board reviews the data architecture annually. The board includes members from the Pod Councils by representing residents. Under its charter, the board holds veto authority over any expansion of data collection beyond the authorized telemetry substrate.</w:t>
      </w:r>
    </w:p>
    <w:p>
      <w:r>
        <w:pict>
          <v:rect style="width:0;height:1.5pt" o:hralign="center" o:hrstd="t" o:hr="t"/>
        </w:pict>
      </w:r>
    </w:p>
    <w:bookmarkEnd w:id="33"/>
    <w:bookmarkStart w:id="34" w:name="chapter-14-the-efficiency-surplus"/>
    <w:p>
      <w:pPr>
        <w:pStyle w:val="Heading1"/>
      </w:pPr>
      <w:r>
        <w:t xml:space="preserve">Chapter 14: The Efficiency Surplus</w:t>
      </w:r>
    </w:p>
    <w:p>
      <w:pPr>
        <w:pStyle w:val="FirstParagraph"/>
      </w:pPr>
      <w:r>
        <w:t xml:space="preserve">By forcing municipalities to absorb fifty thousand dollars per person annually, street management generates huge costs. To calculate this estimate, researchers aggregate hospital expenditures averaging thirty-six thousand to sixty thousand dollars from eight to twelve emergency room visits, law enforcement dispatches, booking cycles, sanitation cleanup, and judicial contacts. The UCSF Benioff Homelessness and Housing Initiative documented these high-frequency service costs in California’s major urban counties. Without system reform, these public systems continue to absorb the financial burden.</w:t>
      </w:r>
    </w:p>
    <w:p>
      <w:pPr>
        <w:pStyle w:val="BodyText"/>
      </w:pPr>
      <w:r>
        <w:t xml:space="preserve">To deploy the funding model, the MDI fiscal architecture uses four financial layers using existing revenue streams. By avoiding new legislation, the model operates within current statutory boundaries. Under Layer Zero, MHRC Medi-Cal sub-acute specialty mental health rate billing funds Phase Zero metabolic stabilization. During a sixty-day stabilization episode, the system generates fifteen thousand dollars per resident, and federal Medi-Cal matching funds provide fifty percent, or seven thousand five hundred dollars. By cycling two thousand residents through Phase Zero annually, the Authority generates thirty-seven million dollars. To support clinical services, Layer One bills Medi-Cal for ACT services at one hundred and fifty to one hundred and ninety dollars daily per client. Billing revenue remains consistent with eighty-five to ninety percent of Pipeline C qualifying for Medi-Cal. Under Layer Two, Measure Alpha and Mental Health Services Act Full Service Partnership allocations fund the field architecture, Pod Stewards, and residential management. Through ACT billing offsets, the Stewardship Authority keeps the field workforce deficit-neutral.</w:t>
      </w:r>
    </w:p>
    <w:p>
      <w:pPr>
        <w:pStyle w:val="BodyText"/>
      </w:pPr>
      <w:r>
        <w:t xml:space="preserve">By recovering the fifty thousand dollar annual street management cost per housed resident, Layer Three generates the efficiency surplus. The city recovers approximately one hundred million dollars in annual street expenditures upon housing two thousand residents in the tower. Depending on occupancy rates, Medi-Cal billing yields, and optimized operational efficiency, the net annual surplus is projected to range between thirty-three million and eighty-two million dollars.</w:t>
      </w:r>
    </w:p>
    <w:p>
      <w:pPr>
        <w:pStyle w:val="BodyText"/>
      </w:pPr>
      <w:r>
        <w:t xml:space="preserve">To build the pilot tower, the total prototype capital expenditure reaches one hundred and ninety-five million dollars. At a minimum annual surplus of thirty-three million dollars, the model recovers this capital expenditure in under six years. Under target projections, the capital recovery timeline closes within twenty-nine months. By executing this acquisition, the Stewardship Authority settles the three-hundred-million-dollar defaulted bank debt on One California Plaza, clears the title, and protects bondholders. The Stewardship Authority issues municipal lease revenue bonds backed by the projected Efficiency Surplus. In downtown Los Angeles, average commercial real estate transaction costs consume three to five percent of the total purchase price. To guide conversion yields, the financial underwriting models the capitalization rate at five and one-half to six percent.</w:t>
      </w:r>
    </w:p>
    <w:p>
      <w:pPr>
        <w:pStyle w:val="BodyText"/>
      </w:pPr>
      <w:r>
        <w:t xml:space="preserve">Following the shift to remote work, the Los Angeles central business district contains approximately fifty million square feet of commercial inventory with vacancy rates exceeding thirty percent. The network houses forty thousand people by replicating this model across twenty commercial towers. Through this expanded scale, the combined efficiency surplus sustains network operations, funds maintenance, and eliminates discretionary appropriations.</w:t>
      </w:r>
    </w:p>
    <w:p>
      <w:r>
        <w:pict>
          <v:rect style="width:0;height:1.5pt" o:hralign="center" o:hrstd="t" o:hr="t"/>
        </w:pict>
      </w:r>
    </w:p>
    <w:bookmarkEnd w:id="34"/>
    <w:bookmarkStart w:id="35" w:name="X8822b138d73a43d7d68934263c4461fdf9c390f"/>
    <w:p>
      <w:pPr>
        <w:pStyle w:val="Heading1"/>
      </w:pPr>
      <w:r>
        <w:t xml:space="preserve">Chapter 15: The Singular Prototype Threshold</w:t>
      </w:r>
    </w:p>
    <w:p>
      <w:pPr>
        <w:pStyle w:val="FirstParagraph"/>
      </w:pPr>
      <w:r>
        <w:t xml:space="preserve">By establishing the Singular Prototype Threshold, the design enforces a strict gatekeeper mechanism. Under this rule, the Stewardship Authority must verify all eight binary metrics at One California Plaza before acquiring a second tower. These metrics return only a yes or a no outcome to maintain objective evaluation. Through this binary structure, the protocol prevents political renegotiation, and performance measurement.</w:t>
      </w:r>
    </w:p>
    <w:p>
      <w:pPr>
        <w:pStyle w:val="BodyText"/>
      </w:pPr>
      <w:r>
        <w:t xml:space="preserve">Metric 1 requires at least an eighty percent two-year housing retention rate within the MDI network to evaluate housing stability. By monitoring neurological readiness, Metric 2 requires at least a seventy percent Phase Zero clearance rate. Under this metric, enrolled residents must meet two or more of the five functional indicators within ninety days, and verifying metabolic stabilization.</w:t>
      </w:r>
    </w:p>
    <w:p>
      <w:pPr>
        <w:pStyle w:val="BodyText"/>
      </w:pPr>
      <w:r>
        <w:t xml:space="preserve">To assess neighborhood impacts, Metric 3 requires a massive eighty percent reduction in the counted unsheltered population within the Skid Row containment zone at the twenty-four-month mark of the pilot program. Metric 4 requires a sixty percent decrease in emergency room visits, law enforcement dispatches, and judicial contacts by targeting high-frequency service demand. To test operational efficiency, Metric 5 requires the Gausium robotic fleet to achieve a lower per-square-foot maintenance cost than the industry benchmark for human-staffed supportive housing facilities of equivalent scale.</w:t>
      </w:r>
    </w:p>
    <w:p>
      <w:pPr>
        <w:pStyle w:val="BodyText"/>
      </w:pPr>
      <w:r>
        <w:t xml:space="preserve">To verify fiscal viability, Metric 6 requires the cumulative efficiency surplus at twenty-four months to place the tower on a trajectory to recover the full one-hundred-and-ninety-five-million-dollar capital investment within forty-eight months from activation. To test the funding architecture, Metric 7 requires that each of the five MHRC clusters achieves DHCS Form 1813 authorization and fifty percent federal matching. To encourage community integration, Metric 8 requires at least forty percent of tower residents to participate in at least one voluntary pod-level engagement activity by the twelve-month mark. Residents participate in garden stewardship, robotic swarm supervision, Pod Council participation, or deploying Digital Access Center support through these options.</w:t>
      </w:r>
    </w:p>
    <w:p>
      <w:pPr>
        <w:pStyle w:val="BodyText"/>
      </w:pPr>
      <w:r>
        <w:t xml:space="preserve">The whole prototype registers a fail upon failing a single metric. Under this failure protocol, the Authority suspends expansion and corrects failures within the first building. By acting as a binding falsifiability clause, the Singular Prototype Threshold triggers automatic suspension of funding upon non-performance and requires validation by an independent third-party audit firm before replication funding is released.</w:t>
      </w:r>
    </w:p>
    <w:p>
      <w:pPr>
        <w:pStyle w:val="BodyText"/>
      </w:pPr>
      <w:r>
        <w:t xml:space="preserve">To establish its urban economics research foundation, the MDI program operates under JEL classification codes R31, R53, H75, I14, I38, and K25. Under these codes, researchers evaluate the program’s outcomes, analyze academic validity, and categorize funding efficiency. The research team establishes long-term credibility by publishing these academic reviews.</w:t>
      </w:r>
    </w:p>
    <w:p>
      <w:r>
        <w:pict>
          <v:rect style="width:0;height:1.5pt" o:hralign="center" o:hrstd="t" o:hr="t"/>
        </w:pict>
      </w:r>
    </w:p>
    <w:bookmarkEnd w:id="35"/>
    <w:bookmarkStart w:id="51" w:name="citations-and-sources"/>
    <w:p>
      <w:pPr>
        <w:pStyle w:val="Heading1"/>
      </w:pPr>
      <w:r>
        <w:t xml:space="preserve">Citations and Sources</w:t>
      </w:r>
    </w:p>
    <w:bookmarkStart w:id="36" w:name="chapter-one-the-synthetic-commons"/>
    <w:p>
      <w:pPr>
        <w:pStyle w:val="Heading2"/>
      </w:pPr>
      <w:r>
        <w:t xml:space="preserve">Chapter One: The Synthetic Commons</w:t>
      </w:r>
    </w:p>
    <w:p>
      <w:pPr>
        <w:pStyle w:val="FirstParagraph"/>
      </w:pPr>
      <w:r>
        <w:t xml:space="preserve">Modernity News.</w:t>
      </w:r>
      <w:r>
        <w:t xml:space="preserve"> </w:t>
      </w:r>
      <w:r>
        <w:t xml:space="preserve">“</w:t>
      </w:r>
      <w:r>
        <w:t xml:space="preserve">Viral Video Reveals Extent of LA’s Homeless Hell.</w:t>
      </w:r>
      <w:r>
        <w:t xml:space="preserve">”</w:t>
      </w:r>
      <w:r>
        <w:t xml:space="preserve"> </w:t>
      </w:r>
      <w:r>
        <w:t xml:space="preserve">May 21, 2026. https://modernity.news/2026/05/21/viral-video-reveals-extent-of-las-homeless-hell/.</w:t>
      </w:r>
    </w:p>
    <w:p>
      <w:pPr>
        <w:pStyle w:val="BodyText"/>
      </w:pPr>
      <w:r>
        <w:t xml:space="preserve">California Department of Finance.</w:t>
      </w:r>
      <w:r>
        <w:t xml:space="preserve"> </w:t>
      </w:r>
      <w:r>
        <w:rPr>
          <w:iCs/>
          <w:i/>
        </w:rPr>
        <w:t xml:space="preserve">Homelessness Accountability and Results Act: Expenditure and Outcomes Report</w:t>
      </w:r>
      <w:r>
        <w:t xml:space="preserve">. Sacramento: State of California, 2024.</w:t>
      </w:r>
    </w:p>
    <w:p>
      <w:pPr>
        <w:pStyle w:val="BodyText"/>
      </w:pPr>
      <w:r>
        <w:t xml:space="preserve">United States Department of Housing and Urban Development.</w:t>
      </w:r>
      <w:r>
        <w:t xml:space="preserve"> </w:t>
      </w:r>
      <w:r>
        <w:rPr>
          <w:iCs/>
          <w:i/>
        </w:rPr>
        <w:t xml:space="preserve">The 2023 Annual Homelessness Assessment Report (AHAR) to Congress</w:t>
      </w:r>
      <w:r>
        <w:t xml:space="preserve">. Washington, D.C.: HUD, 2024.</w:t>
      </w:r>
    </w:p>
    <w:bookmarkEnd w:id="36"/>
    <w:bookmarkStart w:id="37" w:name="chapter-two-the-precondition-of-freedom"/>
    <w:p>
      <w:pPr>
        <w:pStyle w:val="Heading2"/>
      </w:pPr>
      <w:r>
        <w:t xml:space="preserve">Chapter Two: The Precondition of Freedom</w:t>
      </w:r>
    </w:p>
    <w:p>
      <w:pPr>
        <w:pStyle w:val="FirstParagraph"/>
      </w:pPr>
      <w:r>
        <w:t xml:space="preserve">Arendt, Hannah.</w:t>
      </w:r>
      <w:r>
        <w:t xml:space="preserve"> </w:t>
      </w:r>
      <w:r>
        <w:rPr>
          <w:iCs/>
          <w:i/>
        </w:rPr>
        <w:t xml:space="preserve">The Human Condition</w:t>
      </w:r>
      <w:r>
        <w:t xml:space="preserve">. Chicago: University of Chicago Press, 1958.</w:t>
      </w:r>
    </w:p>
    <w:p>
      <w:pPr>
        <w:pStyle w:val="BodyText"/>
      </w:pPr>
      <w:r>
        <w:t xml:space="preserve">Escobar, Reinaldo. Interview on Tinima TV. December 2025.</w:t>
      </w:r>
    </w:p>
    <w:p>
      <w:pPr>
        <w:pStyle w:val="BodyText"/>
      </w:pPr>
      <w:r>
        <w:t xml:space="preserve">Giddens, Anthony.</w:t>
      </w:r>
      <w:r>
        <w:t xml:space="preserve"> </w:t>
      </w:r>
      <w:r>
        <w:rPr>
          <w:iCs/>
          <w:i/>
        </w:rPr>
        <w:t xml:space="preserve">Modernity and Self-Identity: Self and Society in the Late Modern Age</w:t>
      </w:r>
      <w:r>
        <w:t xml:space="preserve">. Stanford: Stanford University Press, 1991.</w:t>
      </w:r>
    </w:p>
    <w:bookmarkEnd w:id="37"/>
    <w:bookmarkStart w:id="38" w:name="chapter-three-the-revenue-machine"/>
    <w:p>
      <w:pPr>
        <w:pStyle w:val="Heading2"/>
      </w:pPr>
      <w:r>
        <w:t xml:space="preserve">Chapter Three: The Revenue Machine</w:t>
      </w:r>
    </w:p>
    <w:p>
      <w:pPr>
        <w:pStyle w:val="FirstParagraph"/>
      </w:pPr>
      <w:r>
        <w:t xml:space="preserve">Coalition for the Homeless of Houston/Harris County.</w:t>
      </w:r>
      <w:r>
        <w:t xml:space="preserve"> </w:t>
      </w:r>
      <w:r>
        <w:rPr>
          <w:iCs/>
          <w:i/>
        </w:rPr>
        <w:t xml:space="preserve">City of Houston/Harris County Homeless Encampment Response Strategy</w:t>
      </w:r>
      <w:r>
        <w:t xml:space="preserve">. Houston: The Coalition, 2021.</w:t>
      </w:r>
    </w:p>
    <w:p>
      <w:pPr>
        <w:pStyle w:val="BodyText"/>
      </w:pPr>
      <w:r>
        <w:t xml:space="preserve">DiBella, Charles J.</w:t>
      </w:r>
      <w:r>
        <w:t xml:space="preserve"> </w:t>
      </w:r>
      <w:r>
        <w:t xml:space="preserve">“</w:t>
      </w:r>
      <w:r>
        <w:t xml:space="preserve">Ghost in the System.</w:t>
      </w:r>
      <w:r>
        <w:t xml:space="preserve">”</w:t>
      </w:r>
      <w:r>
        <w:t xml:space="preserve"> </w:t>
      </w:r>
      <w:r>
        <w:rPr>
          <w:iCs/>
          <w:i/>
        </w:rPr>
        <w:t xml:space="preserve">Cycles of Change</w:t>
      </w:r>
      <w:r>
        <w:t xml:space="preserve"> </w:t>
      </w:r>
      <w:r>
        <w:t xml:space="preserve">(blog). Bikepaths.org. January 6, 2026. https://bikepaths.org.</w:t>
      </w:r>
    </w:p>
    <w:p>
      <w:pPr>
        <w:pStyle w:val="BodyText"/>
      </w:pPr>
      <w:r>
        <w:t xml:space="preserve">Housing Forward.</w:t>
      </w:r>
      <w:r>
        <w:t xml:space="preserve"> </w:t>
      </w:r>
      <w:r>
        <w:rPr>
          <w:iCs/>
          <w:i/>
        </w:rPr>
        <w:t xml:space="preserve">2024 State of Homelessness in Dallas and Collin Counties</w:t>
      </w:r>
      <w:r>
        <w:t xml:space="preserve">. Chicago: Housing Forward, 2024.</w:t>
      </w:r>
    </w:p>
    <w:p>
      <w:pPr>
        <w:pStyle w:val="BodyText"/>
      </w:pPr>
      <w:r>
        <w:t xml:space="preserve">Perez, Frank.</w:t>
      </w:r>
      <w:r>
        <w:t xml:space="preserve"> </w:t>
      </w:r>
      <w:r>
        <w:rPr>
          <w:iCs/>
          <w:i/>
        </w:rPr>
        <w:t xml:space="preserve">Institutional Capture and Federal Funding in the Homelessness Policy Framework</w:t>
      </w:r>
      <w:r>
        <w:t xml:space="preserve">. Preprint. ResearchGate, 2025.</w:t>
      </w:r>
    </w:p>
    <w:p>
      <w:pPr>
        <w:pStyle w:val="BodyText"/>
      </w:pPr>
      <w:r>
        <w:t xml:space="preserve">United States Department of Housing and Urban Development.</w:t>
      </w:r>
      <w:r>
        <w:t xml:space="preserve"> </w:t>
      </w:r>
      <w:r>
        <w:rPr>
          <w:iCs/>
          <w:i/>
        </w:rPr>
        <w:t xml:space="preserve">Evidence for Housing-Based Encampment Strategies</w:t>
      </w:r>
      <w:r>
        <w:t xml:space="preserve">. Washington, D.C.: HUD Exchange, 2023. https://files.hudexchange.info/resources/documents/Evidence-for-Housing-Based-Encampment-Strategies.pdf.</w:t>
      </w:r>
    </w:p>
    <w:bookmarkEnd w:id="38"/>
    <w:bookmarkStart w:id="39" w:name="chapter-four-the-execution-of-harm"/>
    <w:p>
      <w:pPr>
        <w:pStyle w:val="Heading2"/>
      </w:pPr>
      <w:r>
        <w:t xml:space="preserve">Chapter Four: The Execution of Harm</w:t>
      </w:r>
    </w:p>
    <w:p>
      <w:pPr>
        <w:pStyle w:val="FirstParagraph"/>
      </w:pPr>
      <w:r>
        <w:t xml:space="preserve">American Public Health Association.</w:t>
      </w:r>
      <w:r>
        <w:t xml:space="preserve"> </w:t>
      </w:r>
      <w:r>
        <w:t xml:space="preserve">“</w:t>
      </w:r>
      <w:r>
        <w:t xml:space="preserve">Protecting the Health and Well-Being of People Living Unsheltered by Stopping Forcible Displacement of Encampments.</w:t>
      </w:r>
      <w:r>
        <w:t xml:space="preserve">”</w:t>
      </w:r>
      <w:r>
        <w:t xml:space="preserve"> </w:t>
      </w:r>
      <w:r>
        <w:t xml:space="preserve">APHA Policy Statement 20238. November 14, 2023. https://www.apha.org/policies-and-advocacy/public-health-policy-statements/policy-database/2024/01/18/protecting-the-health-and-well-being-of-people-living-unsheltered.</w:t>
      </w:r>
    </w:p>
    <w:p>
      <w:pPr>
        <w:pStyle w:val="BodyText"/>
      </w:pPr>
      <w:r>
        <w:t xml:space="preserve">Barocas, Joshua A., Avik Chatterjee, Jianing Wang, Benjamin P. Linas, and Alexander Y. Walley.</w:t>
      </w:r>
      <w:r>
        <w:t xml:space="preserve"> </w:t>
      </w:r>
      <w:r>
        <w:t xml:space="preserve">“</w:t>
      </w:r>
      <w:r>
        <w:t xml:space="preserve">Population-Level Health Effects of Involuntary Displacement of People Experiencing Unsheltered Homelessness Who Inject Drugs in US Cities.</w:t>
      </w:r>
      <w:r>
        <w:t xml:space="preserve">”</w:t>
      </w:r>
      <w:r>
        <w:t xml:space="preserve"> </w:t>
      </w:r>
      <w:r>
        <w:rPr>
          <w:iCs/>
          <w:i/>
        </w:rPr>
        <w:t xml:space="preserve">JAMA</w:t>
      </w:r>
      <w:r>
        <w:t xml:space="preserve"> </w:t>
      </w:r>
      <w:r>
        <w:t xml:space="preserve">329, no. 17 (May 2023): 1478–1486. https://doi.org/10.1001/jama.2023.4800.</w:t>
      </w:r>
    </w:p>
    <w:p>
      <w:pPr>
        <w:pStyle w:val="BodyText"/>
      </w:pPr>
      <w:r>
        <w:t xml:space="preserve">Chang, Jih-Sheng, Ciara Wynn, Jennifer Lorvick, and Lynn Wenger.</w:t>
      </w:r>
      <w:r>
        <w:t xml:space="preserve"> </w:t>
      </w:r>
      <w:r>
        <w:t xml:space="preserve">“</w:t>
      </w:r>
      <w:r>
        <w:t xml:space="preserve">Harms of Encampment Abatements on the Health of Unhoused People.</w:t>
      </w:r>
      <w:r>
        <w:t xml:space="preserve">”</w:t>
      </w:r>
      <w:r>
        <w:t xml:space="preserve"> </w:t>
      </w:r>
      <w:r>
        <w:rPr>
          <w:iCs/>
          <w:i/>
        </w:rPr>
        <w:t xml:space="preserve">SSM—Qualitative Research in Health</w:t>
      </w:r>
      <w:r>
        <w:t xml:space="preserve"> </w:t>
      </w:r>
      <w:r>
        <w:t xml:space="preserve">2 (December 2022): 100064. https://doi.org/10.1016/j.ssmqr.2021.100064.</w:t>
      </w:r>
    </w:p>
    <w:p>
      <w:pPr>
        <w:pStyle w:val="BodyText"/>
      </w:pPr>
      <w:r>
        <w:t xml:space="preserve">Chiang, Jeffrey C., Ricky Bluthenthal, Ricky Camplain, David Goodman-Meza, and Brandon D.L. Marshall.</w:t>
      </w:r>
      <w:r>
        <w:t xml:space="preserve"> </w:t>
      </w:r>
      <w:r>
        <w:t xml:space="preserve">“</w:t>
      </w:r>
      <w:r>
        <w:t xml:space="preserve">Health Risk Associated with Residential Relocation Among People Who Inject Drugs in Los Angeles and San Francisco, CA.</w:t>
      </w:r>
      <w:r>
        <w:t xml:space="preserve">”</w:t>
      </w:r>
      <w:r>
        <w:t xml:space="preserve"> </w:t>
      </w:r>
      <w:r>
        <w:rPr>
          <w:iCs/>
          <w:i/>
        </w:rPr>
        <w:t xml:space="preserve">BMC Public Health</w:t>
      </w:r>
      <w:r>
        <w:t xml:space="preserve"> </w:t>
      </w:r>
      <w:r>
        <w:t xml:space="preserve">22, no. 823 (April 2022). https://doi.org/10.1186/s12889-022-13227-4.</w:t>
      </w:r>
    </w:p>
    <w:p>
      <w:pPr>
        <w:pStyle w:val="BodyText"/>
      </w:pPr>
      <w:r>
        <w:t xml:space="preserve">United States Interagency Council on Homelessness.</w:t>
      </w:r>
      <w:r>
        <w:t xml:space="preserve"> </w:t>
      </w:r>
      <w:r>
        <w:rPr>
          <w:iCs/>
          <w:i/>
        </w:rPr>
        <w:t xml:space="preserve">19 Strategies for Communities to Address Encampments Humanely and Effectively</w:t>
      </w:r>
      <w:r>
        <w:t xml:space="preserve">. Washington, D.C.: USICH, 2024. https://www.usich.gov/guidance-reports-data/federal-guidance-resources/19-strategies-communities-address-encampments.</w:t>
      </w:r>
    </w:p>
    <w:p>
      <w:pPr>
        <w:pStyle w:val="BodyText"/>
      </w:pPr>
      <w:r>
        <w:t xml:space="preserve">Westbrook, Marina, and Tony Robinson.</w:t>
      </w:r>
      <w:r>
        <w:t xml:space="preserve"> </w:t>
      </w:r>
      <w:r>
        <w:t xml:space="preserve">“</w:t>
      </w:r>
      <w:r>
        <w:t xml:space="preserve">Unhealthy by Design: Health and Safety Consequences of the Criminalization of Homelessness.</w:t>
      </w:r>
      <w:r>
        <w:t xml:space="preserve">”</w:t>
      </w:r>
      <w:r>
        <w:t xml:space="preserve"> </w:t>
      </w:r>
      <w:r>
        <w:rPr>
          <w:iCs/>
          <w:i/>
        </w:rPr>
        <w:t xml:space="preserve">Journal of Social Distress and Homelessness</w:t>
      </w:r>
      <w:r>
        <w:t xml:space="preserve"> </w:t>
      </w:r>
      <w:r>
        <w:t xml:space="preserve">30, no. 2 (2021): 107–115. https://doi.org/10.1080/10530789.2020.1800584.</w:t>
      </w:r>
    </w:p>
    <w:bookmarkEnd w:id="39"/>
    <w:bookmarkStart w:id="40" w:name="chapter-five-the-demographic-delusion"/>
    <w:p>
      <w:pPr>
        <w:pStyle w:val="Heading2"/>
      </w:pPr>
      <w:r>
        <w:t xml:space="preserve">Chapter Five: The Demographic Delusion</w:t>
      </w:r>
    </w:p>
    <w:p>
      <w:pPr>
        <w:pStyle w:val="FirstParagraph"/>
      </w:pPr>
      <w:r>
        <w:t xml:space="preserve">Streets Sense Media.</w:t>
      </w:r>
      <w:r>
        <w:t xml:space="preserve"> </w:t>
      </w:r>
      <w:r>
        <w:rPr>
          <w:iCs/>
          <w:i/>
        </w:rPr>
        <w:t xml:space="preserve">Washington D.C. Encampment Closure Tracking Report, 2023–2026</w:t>
      </w:r>
      <w:r>
        <w:t xml:space="preserve">. Washington, D.C.: Streets Sense Media, 2026.</w:t>
      </w:r>
    </w:p>
    <w:p>
      <w:pPr>
        <w:pStyle w:val="BodyText"/>
      </w:pPr>
      <w:r>
        <w:t xml:space="preserve">Washington Post Staff.</w:t>
      </w:r>
      <w:r>
        <w:t xml:space="preserve"> </w:t>
      </w:r>
      <w:r>
        <w:t xml:space="preserve">“</w:t>
      </w:r>
      <w:r>
        <w:t xml:space="preserve">D.C. Point-in-Time Count Records 5,138 Individuals Experiencing Homelessness, a Nine Percent Decrease.</w:t>
      </w:r>
      <w:r>
        <w:t xml:space="preserve">”</w:t>
      </w:r>
      <w:r>
        <w:t xml:space="preserve"> </w:t>
      </w:r>
      <w:r>
        <w:rPr>
          <w:iCs/>
          <w:i/>
        </w:rPr>
        <w:t xml:space="preserve">Washington Post</w:t>
      </w:r>
      <w:r>
        <w:t xml:space="preserve">, May 2025.</w:t>
      </w:r>
    </w:p>
    <w:p>
      <w:pPr>
        <w:pStyle w:val="BodyText"/>
      </w:pPr>
      <w:r>
        <w:t xml:space="preserve">Washington Times Staff.</w:t>
      </w:r>
      <w:r>
        <w:t xml:space="preserve"> </w:t>
      </w:r>
      <w:r>
        <w:t xml:space="preserve">“</w:t>
      </w:r>
      <w:r>
        <w:t xml:space="preserve">D.C. 2026 Homeless Count Shows Four Percent Overall Increase; Families Up Sixteen Percent.</w:t>
      </w:r>
      <w:r>
        <w:t xml:space="preserve">”</w:t>
      </w:r>
      <w:r>
        <w:t xml:space="preserve"> </w:t>
      </w:r>
      <w:r>
        <w:rPr>
          <w:iCs/>
          <w:i/>
        </w:rPr>
        <w:t xml:space="preserve">Washington Times</w:t>
      </w:r>
      <w:r>
        <w:t xml:space="preserve">, May 2026.</w:t>
      </w:r>
    </w:p>
    <w:p>
      <w:pPr>
        <w:pStyle w:val="BodyText"/>
      </w:pPr>
      <w:r>
        <w:t xml:space="preserve">White House Office of the Press Secretary.</w:t>
      </w:r>
      <w:r>
        <w:t xml:space="preserve"> </w:t>
      </w:r>
      <w:r>
        <w:rPr>
          <w:iCs/>
          <w:i/>
        </w:rPr>
        <w:t xml:space="preserve">Executive Order on Restoration of Public Safety and Beauty in the Nation’s Capital</w:t>
      </w:r>
      <w:r>
        <w:t xml:space="preserve">. Washington, D.C.: The White House, March 2025.</w:t>
      </w:r>
    </w:p>
    <w:bookmarkEnd w:id="40"/>
    <w:bookmarkStart w:id="41" w:name="chapter-six-the-pipeline-calculus"/>
    <w:p>
      <w:pPr>
        <w:pStyle w:val="Heading2"/>
      </w:pPr>
      <w:r>
        <w:t xml:space="preserve">Chapter Six: The Pipeline Calculus</w:t>
      </w:r>
    </w:p>
    <w:p>
      <w:pPr>
        <w:pStyle w:val="FirstParagraph"/>
      </w:pPr>
      <w:r>
        <w:t xml:space="preserve">DiBella, Charles J.</w:t>
      </w:r>
      <w:r>
        <w:t xml:space="preserve"> </w:t>
      </w:r>
      <w:r>
        <w:rPr>
          <w:iCs/>
          <w:i/>
        </w:rPr>
        <w:t xml:space="preserve">Material Dignity Infrastructure: A Distributed Stewardship Model for Homelessness Resolution</w:t>
      </w:r>
      <w:r>
        <w:t xml:space="preserve">. SSRN Working Paper 5968756. 2025. https://papers.ssrn.com/sol3/papers.cfm?abstract_id=5968756.</w:t>
      </w:r>
    </w:p>
    <w:p>
      <w:pPr>
        <w:pStyle w:val="BodyText"/>
      </w:pPr>
      <w:r>
        <w:t xml:space="preserve">DiBella, Charles J.</w:t>
      </w:r>
      <w:r>
        <w:t xml:space="preserve"> </w:t>
      </w:r>
      <w:r>
        <w:rPr>
          <w:iCs/>
          <w:i/>
        </w:rPr>
        <w:t xml:space="preserve">Material Dignity Infrastructure: Structural Misalignment and the Activation of Surplus Shelter Capacity</w:t>
      </w:r>
      <w:r>
        <w:t xml:space="preserve">. SSRN Working Paper 6211658. February 2026. https://papers.ssrn.com/sol3/papers.cfm?abstract_id=6211658.</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 https://papers.ssrn.com/sol3/papers.cfm?abstract_id=6579600.</w:t>
      </w:r>
    </w:p>
    <w:p>
      <w:pPr>
        <w:pStyle w:val="BodyText"/>
      </w:pPr>
      <w:r>
        <w:t xml:space="preserve">Roebuck, Benjamin S., Sydney Chapados, Erin Dej, Carmen Hust, Sue-Ann MacDonald, Diana McGlinchey, Dennim Groke, Krista Luzzi, and Jordan Wark.</w:t>
      </w:r>
      <w:r>
        <w:t xml:space="preserve"> </w:t>
      </w:r>
      <w:r>
        <w:t xml:space="preserve">“</w:t>
      </w:r>
      <w:r>
        <w:t xml:space="preserve">A Turning Point? Responses to COVID-19 Within the Homelessness Industrial Complex.</w:t>
      </w:r>
      <w:r>
        <w:t xml:space="preserve">”</w:t>
      </w:r>
      <w:r>
        <w:t xml:space="preserve"> </w:t>
      </w:r>
      <w:r>
        <w:rPr>
          <w:iCs/>
          <w:i/>
        </w:rPr>
        <w:t xml:space="preserve">International Journal on Homelessness</w:t>
      </w:r>
      <w:r>
        <w:t xml:space="preserve"> </w:t>
      </w:r>
      <w:r>
        <w:t xml:space="preserve">3, no. 1 (2022): 83–101. https://doi.org/10.5206/ijoh.2022.2.14734.</w:t>
      </w:r>
    </w:p>
    <w:p>
      <w:pPr>
        <w:pStyle w:val="BodyText"/>
      </w:pPr>
      <w:r>
        <w:t xml:space="preserve">Staten, Lisa, and Sara Rankin.</w:t>
      </w:r>
      <w:r>
        <w:t xml:space="preserve"> </w:t>
      </w:r>
      <w:r>
        <w:rPr>
          <w:iCs/>
          <w:i/>
        </w:rPr>
        <w:t xml:space="preserve">Penny Wise But Pound Foolish: How Permanent Supportive Housing Can Prevent a World of Hurt</w:t>
      </w:r>
      <w:r>
        <w:t xml:space="preserve">. Seattle: Seattle University School of Law Homeless Rights Advocacy Project, 2019. https://papers.ssrn.com/sol3/papers.cfm?abstract_id=3419187.</w:t>
      </w:r>
    </w:p>
    <w:bookmarkEnd w:id="41"/>
    <w:bookmarkStart w:id="42" w:name="chapter-seven-the-sanitation-metaphor"/>
    <w:p>
      <w:pPr>
        <w:pStyle w:val="Heading2"/>
      </w:pPr>
      <w:r>
        <w:t xml:space="preserve">Chapter Seven: The Sanitation Metaphor</w:t>
      </w:r>
    </w:p>
    <w:p>
      <w:pPr>
        <w:pStyle w:val="FirstParagraph"/>
      </w:pPr>
      <w:r>
        <w:t xml:space="preserve">Halliday, Stephen.</w:t>
      </w:r>
      <w:r>
        <w:t xml:space="preserve"> </w:t>
      </w:r>
      <w:r>
        <w:rPr>
          <w:iCs/>
          <w:i/>
        </w:rPr>
        <w:t xml:space="preserve">The Great Stink of London: Sir Joseph Bazalgette and the Cleansing of the Victorian Metropolis</w:t>
      </w:r>
      <w:r>
        <w:t xml:space="preserve">. Stroud: Sutton Publishing, 1999.</w:t>
      </w:r>
    </w:p>
    <w:p>
      <w:pPr>
        <w:pStyle w:val="BodyText"/>
      </w:pPr>
      <w:r>
        <w:t xml:space="preserve">Snow, John.</w:t>
      </w:r>
      <w:r>
        <w:t xml:space="preserve"> </w:t>
      </w:r>
      <w:r>
        <w:rPr>
          <w:iCs/>
          <w:i/>
        </w:rPr>
        <w:t xml:space="preserve">On the Mode of Communication of Cholera</w:t>
      </w:r>
      <w:r>
        <w:t xml:space="preserve">. 2nd ed. London: John Churchill, 1855.</w:t>
      </w:r>
    </w:p>
    <w:bookmarkEnd w:id="42"/>
    <w:bookmarkStart w:id="43" w:name="X4bb5a2894b69e44e1cf461e578a74a85dadbce1"/>
    <w:p>
      <w:pPr>
        <w:pStyle w:val="Heading2"/>
      </w:pPr>
      <w:r>
        <w:t xml:space="preserve">Chapter Eight: Phase Zero: Metabolic Stabilization</w:t>
      </w:r>
    </w:p>
    <w:p>
      <w:pPr>
        <w:pStyle w:val="FirstParagraph"/>
      </w:pPr>
      <w:r>
        <w:t xml:space="preserve">California Department of Health Care Services.</w:t>
      </w:r>
      <w:r>
        <w:t xml:space="preserve"> </w:t>
      </w:r>
      <w:r>
        <w:rPr>
          <w:iCs/>
          <w:i/>
        </w:rPr>
        <w:t xml:space="preserve">Mental Health Rehabilitation Centers (MHRC) Licensing and Certification Standards</w:t>
      </w:r>
      <w:r>
        <w:t xml:space="preserve">. Sacramento: DHCS, 2024.</w:t>
      </w:r>
    </w:p>
    <w:p>
      <w:pPr>
        <w:pStyle w:val="BodyText"/>
      </w:pPr>
      <w:r>
        <w:t xml:space="preserve">U.S. Congress.</w:t>
      </w:r>
      <w:r>
        <w:t xml:space="preserve"> </w:t>
      </w:r>
      <w:r>
        <w:rPr>
          <w:iCs/>
          <w:i/>
        </w:rPr>
        <w:t xml:space="preserve">Social Security Act: Exclusion of Services in Institutions for Mental Diseases</w:t>
      </w:r>
      <w:r>
        <w:t xml:space="preserve">. 42 U.S.C. § 1396d(a)(B)(29). Washington, D.C.: Government Publishing Office, 1965.</w:t>
      </w:r>
    </w:p>
    <w:bookmarkEnd w:id="43"/>
    <w:bookmarkStart w:id="44" w:name="chapter-nine-the-field-architecture"/>
    <w:p>
      <w:pPr>
        <w:pStyle w:val="Heading2"/>
      </w:pPr>
      <w:r>
        <w:t xml:space="preserve">Chapter Nine: The Field Architecture</w:t>
      </w:r>
    </w:p>
    <w:p>
      <w:pPr>
        <w:pStyle w:val="FirstParagraph"/>
      </w:pPr>
      <w:r>
        <w:t xml:space="preserve">Houston/Harris County Continuum of Care.</w:t>
      </w:r>
      <w:r>
        <w:t xml:space="preserve"> </w:t>
      </w:r>
      <w:r>
        <w:rPr>
          <w:iCs/>
          <w:i/>
        </w:rPr>
        <w:t xml:space="preserve">By-Name List Registry Operating Guidelines</w:t>
      </w:r>
      <w:r>
        <w:t xml:space="preserve">. Houston: CoC, 2023.</w:t>
      </w:r>
    </w:p>
    <w:p>
      <w:pPr>
        <w:pStyle w:val="BodyText"/>
      </w:pPr>
      <w:r>
        <w:t xml:space="preserve">Los Angeles Homeless Services Authority.</w:t>
      </w:r>
      <w:r>
        <w:t xml:space="preserve"> </w:t>
      </w:r>
      <w:r>
        <w:rPr>
          <w:iCs/>
          <w:i/>
        </w:rPr>
        <w:t xml:space="preserve">2025 Greater Los Angeles Homeless Count Results</w:t>
      </w:r>
      <w:r>
        <w:t xml:space="preserve">. Los Angeles: LAHSA, 2025.</w:t>
      </w:r>
    </w:p>
    <w:bookmarkEnd w:id="44"/>
    <w:bookmarkStart w:id="45" w:name="chapter-ten-the-legal-lever-system"/>
    <w:p>
      <w:pPr>
        <w:pStyle w:val="Heading2"/>
      </w:pPr>
      <w:r>
        <w:t xml:space="preserve">Chapter Ten: The Legal Lever System</w:t>
      </w:r>
    </w:p>
    <w:p>
      <w:pPr>
        <w:pStyle w:val="FirstParagraph"/>
      </w:pPr>
      <w:r>
        <w:t xml:space="preserve">California Legislative Counsel.</w:t>
      </w:r>
      <w:r>
        <w:t xml:space="preserve"> </w:t>
      </w:r>
      <w:r>
        <w:rPr>
          <w:iCs/>
          <w:i/>
        </w:rPr>
        <w:t xml:space="preserve">Community Assistance, Recovery, and Empowerment (CARE) Act</w:t>
      </w:r>
      <w:r>
        <w:t xml:space="preserve">. Welfare and Institutions Code §§ 5970–5987. Sacramento: State of California, 2022.</w:t>
      </w:r>
    </w:p>
    <w:p>
      <w:pPr>
        <w:pStyle w:val="BodyText"/>
      </w:pPr>
      <w:r>
        <w:t xml:space="preserve">California Legislative Counsel.</w:t>
      </w:r>
      <w:r>
        <w:t xml:space="preserve"> </w:t>
      </w:r>
      <w:r>
        <w:rPr>
          <w:iCs/>
          <w:i/>
        </w:rPr>
        <w:t xml:space="preserve">Assisted Outpatient Treatment Services (Laura’s Law)</w:t>
      </w:r>
      <w:r>
        <w:t xml:space="preserve">. Welfare and Institutions Code §§ 5345–5349.5. Sacramento: State of California, 2002.</w:t>
      </w:r>
    </w:p>
    <w:p>
      <w:pPr>
        <w:pStyle w:val="BodyText"/>
      </w:pPr>
      <w:r>
        <w:t xml:space="preserve">California Senate.</w:t>
      </w:r>
      <w:r>
        <w:t xml:space="preserve"> </w:t>
      </w:r>
      <w:r>
        <w:rPr>
          <w:iCs/>
          <w:i/>
        </w:rPr>
        <w:t xml:space="preserve">SB 43: Behavioral Health: Gravely Disabled</w:t>
      </w:r>
      <w:r>
        <w:t xml:space="preserve">. Sacramento: State of California, 2023.</w:t>
      </w:r>
    </w:p>
    <w:bookmarkEnd w:id="45"/>
    <w:bookmarkStart w:id="46" w:name="X72d4541acd058065bbbd045ad4e63100d607706"/>
    <w:p>
      <w:pPr>
        <w:pStyle w:val="Heading2"/>
      </w:pPr>
      <w:r>
        <w:t xml:space="preserve">Chapter Eleven: Vertical Engineering and Adaptive Reuse</w:t>
      </w:r>
    </w:p>
    <w:p>
      <w:pPr>
        <w:pStyle w:val="FirstParagraph"/>
      </w:pPr>
      <w:r>
        <w:t xml:space="preserve">Dunbar, Robin.</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 https://doi.org/10.1017/S0140525X0003232X.</w:t>
      </w:r>
    </w:p>
    <w:p>
      <w:pPr>
        <w:pStyle w:val="BodyText"/>
      </w:pPr>
      <w:r>
        <w:t xml:space="preserve">Tennessee Valley Authority.</w:t>
      </w:r>
      <w:r>
        <w:t xml:space="preserve"> </w:t>
      </w:r>
      <w:r>
        <w:rPr>
          <w:iCs/>
          <w:i/>
        </w:rPr>
        <w:t xml:space="preserve">The Tennessee Valley Authority Act of 1933</w:t>
      </w:r>
      <w:r>
        <w:t xml:space="preserve">. 16 U.S.C. § 831 et seq. Washington, D.C.: Government Publishing Office, 1933.</w:t>
      </w:r>
    </w:p>
    <w:bookmarkEnd w:id="46"/>
    <w:bookmarkStart w:id="47" w:name="Xf79ffb88367fff4ce677b1beab5439ff5c4de27"/>
    <w:p>
      <w:pPr>
        <w:pStyle w:val="Heading2"/>
      </w:pPr>
      <w:r>
        <w:t xml:space="preserve">Chapter Twelve: The Ontological Architecture</w:t>
      </w:r>
    </w:p>
    <w:p>
      <w:pPr>
        <w:pStyle w:val="FirstParagraph"/>
      </w:pPr>
      <w:r>
        <w:t xml:space="preserve">Acoustical Society of America.</w:t>
      </w:r>
      <w:r>
        <w:t xml:space="preserve"> </w:t>
      </w:r>
      <w:r>
        <w:rPr>
          <w:iCs/>
          <w:i/>
        </w:rPr>
        <w:t xml:space="preserve">Acoustical Performance Criteria, Design Requirements, and Guidelines for Housed Modular Units</w:t>
      </w:r>
      <w:r>
        <w:t xml:space="preserve">. STC-65 Standard. New York: ASA, 2024.</w:t>
      </w:r>
    </w:p>
    <w:bookmarkEnd w:id="47"/>
    <w:bookmarkStart w:id="48" w:name="chapter-thirteen-the-cybernetic-grid"/>
    <w:p>
      <w:pPr>
        <w:pStyle w:val="Heading2"/>
      </w:pPr>
      <w:r>
        <w:t xml:space="preserve">Chapter Thirteen: The Cybernetic Grid</w:t>
      </w:r>
    </w:p>
    <w:p>
      <w:pPr>
        <w:pStyle w:val="FirstParagraph"/>
      </w:pPr>
      <w:r>
        <w:t xml:space="preserve">International Electrotechnical Commission.</w:t>
      </w:r>
      <w:r>
        <w:t xml:space="preserve"> </w:t>
      </w:r>
      <w:r>
        <w:rPr>
          <w:iCs/>
          <w:i/>
        </w:rPr>
        <w:t xml:space="preserve">Household and Similar Electrical Appliances—Safety—Part 2-79: Particular Requirements for High Pressure Cleaners and Steam Cleaners</w:t>
      </w:r>
      <w:r>
        <w:t xml:space="preserve">. IEC 60335-2-79. Geneva: IEC, 2021.</w:t>
      </w:r>
    </w:p>
    <w:p>
      <w:pPr>
        <w:pStyle w:val="BodyText"/>
      </w:pPr>
      <w:r>
        <w:t xml:space="preserve">International Organization for Standardization.</w:t>
      </w:r>
      <w:r>
        <w:t xml:space="preserve"> </w:t>
      </w:r>
      <w:r>
        <w:rPr>
          <w:iCs/>
          <w:i/>
        </w:rPr>
        <w:t xml:space="preserve">Acoustics—Determination of Sound Power Levels and Sound Energy Levels of Noise Sources Using Sound Pressure</w:t>
      </w:r>
      <w:r>
        <w:t xml:space="preserve">. ISO 3741:2010. Geneva: ISO, 2010.</w:t>
      </w:r>
    </w:p>
    <w:bookmarkEnd w:id="48"/>
    <w:bookmarkStart w:id="49" w:name="chapter-fourteen-the-efficiency-surplus"/>
    <w:p>
      <w:pPr>
        <w:pStyle w:val="Heading2"/>
      </w:pPr>
      <w:r>
        <w:t xml:space="preserve">Chapter Fourteen: The Efficiency Surplus</w:t>
      </w:r>
    </w:p>
    <w:p>
      <w:pPr>
        <w:pStyle w:val="FirstParagraph"/>
      </w:pPr>
      <w:r>
        <w:t xml:space="preserve">California Department of Health Care Services.</w:t>
      </w:r>
      <w:r>
        <w:t xml:space="preserve"> </w:t>
      </w:r>
      <w:r>
        <w:rPr>
          <w:iCs/>
          <w:i/>
        </w:rPr>
        <w:t xml:space="preserve">Mental Health Services Act (MHSA) Full Service Partnership (FSP) Guidelines</w:t>
      </w:r>
      <w:r>
        <w:t xml:space="preserve">. Sacramento: DHCS, 2023.</w:t>
      </w:r>
    </w:p>
    <w:p>
      <w:pPr>
        <w:pStyle w:val="BodyText"/>
      </w:pPr>
      <w:r>
        <w:t xml:space="preserve">Kushel, Margot, and Tiana Moore.</w:t>
      </w:r>
      <w:r>
        <w:t xml:space="preserve"> </w:t>
      </w:r>
      <w:r>
        <w:rPr>
          <w:iCs/>
          <w:i/>
        </w:rPr>
        <w:t xml:space="preserve">Toward a New Horizon: The California Statewide Study of People Experiencing Homelessness</w:t>
      </w:r>
      <w:r>
        <w:t xml:space="preserve">. San Francisco: UCSF Benioff Homelessness and Housing Initiative, 2023.</w:t>
      </w:r>
    </w:p>
    <w:bookmarkEnd w:id="49"/>
    <w:bookmarkStart w:id="50" w:name="X22a5fe2f14815d8cba3a578316c54fb75427192"/>
    <w:p>
      <w:pPr>
        <w:pStyle w:val="Heading2"/>
      </w:pPr>
      <w:r>
        <w:t xml:space="preserve">Chapter Fifteen: The Singular Prototype Threshold</w:t>
      </w:r>
    </w:p>
    <w:p>
      <w:pPr>
        <w:pStyle w:val="FirstParagraph"/>
      </w:pPr>
      <w:r>
        <w:t xml:space="preserve">Journal of Economic Literature.</w:t>
      </w:r>
      <w:r>
        <w:t xml:space="preserve"> </w:t>
      </w:r>
      <w:r>
        <w:rPr>
          <w:iCs/>
          <w:i/>
        </w:rPr>
        <w:t xml:space="preserve">JEL Classification System</w:t>
      </w:r>
      <w:r>
        <w:t xml:space="preserve">. Nashville: American Economic Association, 2024. https://www.aeaweb.org/econlit/jelCodes.php.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2026-06-12T09:47:13Z</dcterms:created>
  <dcterms:modified xsi:type="dcterms:W3CDTF">2026-06-12T09:47:13Z</dcterms:modified>
</cp:coreProperties>
</file>

<file path=docProps/custom.xml><?xml version="1.0" encoding="utf-8"?>
<Properties xmlns="http://schemas.openxmlformats.org/officeDocument/2006/custom-properties" xmlns:vt="http://schemas.openxmlformats.org/officeDocument/2006/docPropsVTypes"/>
</file>