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p>
      <w:pPr>
        <w:pStyle w:val="BodyText"/>
      </w:pPr>
      <w:r>
        <w:rPr>
          <w:iCs/>
          <w:i/>
        </w:rPr>
        <w:t xml:space="preserve">Arthur, Jenifer, and Marcus are composite illustrations constructed from documented population characteristics corresponding to Pipelines B, C, and A respectively. They are not drawn from individual case files. Their purpose is to demonstrate the mechanical function of each pipeline through a human lens.</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This volume is the fourth in the Material Dignity Infrastructure series. The full theoretical framework, including the capabilities approach synthesis, the National Stability Utility model, and the complete Los Angeles operational specification with fiscal architecture and legal governance, is developed across Papers 1 through 3 available at SSRN (Abstract IDs: 5968756, 6211658, 6579600) and at bikepaths.org. This book renders that framework through three composite pipeline illustrations to make its human and architectural logic visible to a general audience.</w:t>
      </w:r>
    </w:p>
    <w:p>
      <w:pPr>
        <w:pStyle w:val="BodyText"/>
      </w:pPr>
      <w:r>
        <w:t xml:space="preserve">The governing research question underlying the full MDI series is this: Does a simultaneous five-operation engineering intervention—deploying acoustic architecture, pipeline-differentiated intake, and Dunbar-scale social infrastructure—outperform fragmented legacy systems in biological stabilization, housing retention, and cost efficiency for the chronically unsheltered? The answer is verified against eight binary metrics constituting the Singular Prototype Threshold, detailed in the companion working paper. This volume demonstrates the pipeline mechanics through which that question is answered.</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4 within the dense urban core. Pipeline C represents approximately 30 percent of the unsheltered population. The compelled legal pathway described in this section operates exclusively within existing California law—the CARE Act (2023), Laura’s Law, and the Lanterman-Petris-Short Act—under independent judicial oversight. The MDI architecture does not create new coercive authority; it provides the destination those existing legal instruments currently lack.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Pipeline</w:t>
            </w:r>
          </w:p>
        </w:tc>
        <w:tc>
          <w:tcPr/>
          <w:p>
            <w:pPr>
              <w:pStyle w:val="Compact"/>
              <w:jc w:val="left"/>
            </w:pPr>
            <w:r>
              <w:rPr>
                <w:bCs/>
                <w:b/>
              </w:rPr>
              <w:t xml:space="preserve">Population</w:t>
            </w:r>
          </w:p>
        </w:tc>
        <w:tc>
          <w:tcPr/>
          <w:p>
            <w:pPr>
              <w:pStyle w:val="Compact"/>
              <w:jc w:val="left"/>
            </w:pPr>
            <w:r>
              <w:rPr>
                <w:bCs/>
                <w:b/>
              </w:rPr>
              <w:t xml:space="preserve">% of Total</w:t>
            </w:r>
          </w:p>
        </w:tc>
        <w:tc>
          <w:tcPr/>
          <w:p>
            <w:pPr>
              <w:pStyle w:val="Compact"/>
              <w:jc w:val="left"/>
            </w:pPr>
            <w:r>
              <w:rPr>
                <w:bCs/>
                <w:b/>
              </w:rPr>
              <w:t xml:space="preserve">Primary Instrument</w:t>
            </w:r>
          </w:p>
        </w:tc>
        <w:tc>
          <w:tcPr/>
          <w:p>
            <w:pPr>
              <w:pStyle w:val="Compact"/>
              <w:jc w:val="left"/>
            </w:pPr>
            <w:r>
              <w:rPr>
                <w:bCs/>
                <w:b/>
              </w:rPr>
              <w:t xml:space="preserve">MDI Node</w:t>
            </w:r>
          </w:p>
        </w:tc>
      </w:tr>
      <w:tr>
        <w:tc>
          <w:tcPr/>
          <w:p>
            <w:pPr>
              <w:pStyle w:val="Compact"/>
              <w:jc w:val="left"/>
            </w:pPr>
            <w:r>
              <w:t xml:space="preserve">A — Voluntary</w:t>
            </w:r>
          </w:p>
        </w:tc>
        <w:tc>
          <w:tcPr/>
          <w:p>
            <w:pPr>
              <w:pStyle w:val="Compact"/>
              <w:jc w:val="left"/>
            </w:pPr>
            <w:r>
              <w:t xml:space="preserve">Near-homeless, newly displaced</w:t>
            </w:r>
          </w:p>
        </w:tc>
        <w:tc>
          <w:tcPr/>
          <w:p>
            <w:pPr>
              <w:pStyle w:val="Compact"/>
              <w:jc w:val="left"/>
            </w:pPr>
            <w:r>
              <w:t xml:space="preserve">~26%</w:t>
            </w:r>
          </w:p>
        </w:tc>
        <w:tc>
          <w:tcPr/>
          <w:p>
            <w:pPr>
              <w:pStyle w:val="Compact"/>
              <w:jc w:val="left"/>
            </w:pPr>
            <w:r>
              <w:t xml:space="preserve">CES rapid placement</w:t>
            </w:r>
          </w:p>
        </w:tc>
        <w:tc>
          <w:tcPr/>
          <w:p>
            <w:pPr>
              <w:pStyle w:val="Compact"/>
              <w:jc w:val="left"/>
            </w:pPr>
            <w:r>
              <w:t xml:space="preserve">Ground Floor → ALMU</w:t>
            </w:r>
          </w:p>
        </w:tc>
      </w:tr>
      <w:tr>
        <w:tc>
          <w:tcPr/>
          <w:p>
            <w:pPr>
              <w:pStyle w:val="Compact"/>
              <w:jc w:val="left"/>
            </w:pPr>
            <w:r>
              <w:t xml:space="preserve">B — Engageable</w:t>
            </w:r>
          </w:p>
        </w:tc>
        <w:tc>
          <w:tcPr/>
          <w:p>
            <w:pPr>
              <w:pStyle w:val="Compact"/>
              <w:jc w:val="left"/>
            </w:pPr>
            <w:r>
              <w:t xml:space="preserve">Long-term encamped, rational refusal</w:t>
            </w:r>
          </w:p>
        </w:tc>
        <w:tc>
          <w:tcPr/>
          <w:p>
            <w:pPr>
              <w:pStyle w:val="Compact"/>
              <w:jc w:val="left"/>
            </w:pPr>
            <w:r>
              <w:t xml:space="preserve">~35%</w:t>
            </w:r>
          </w:p>
        </w:tc>
        <w:tc>
          <w:tcPr/>
          <w:p>
            <w:pPr>
              <w:pStyle w:val="Compact"/>
              <w:jc w:val="left"/>
            </w:pPr>
            <w:r>
              <w:t xml:space="preserve">Warm offer at crisis window</w:t>
            </w:r>
          </w:p>
        </w:tc>
        <w:tc>
          <w:tcPr/>
          <w:p>
            <w:pPr>
              <w:pStyle w:val="Compact"/>
              <w:jc w:val="left"/>
            </w:pPr>
            <w:r>
              <w:t xml:space="preserve">Field Team → ALMU</w:t>
            </w:r>
          </w:p>
        </w:tc>
      </w:tr>
      <w:tr>
        <w:tc>
          <w:tcPr/>
          <w:p>
            <w:pPr>
              <w:pStyle w:val="Compact"/>
              <w:jc w:val="left"/>
            </w:pPr>
            <w:r>
              <w:t xml:space="preserve">C — Calcified</w:t>
            </w:r>
          </w:p>
        </w:tc>
        <w:tc>
          <w:tcPr/>
          <w:p>
            <w:pPr>
              <w:pStyle w:val="Compact"/>
              <w:jc w:val="left"/>
            </w:pPr>
            <w:r>
              <w:t xml:space="preserve">Behaviorally calcified, anosognosia</w:t>
            </w:r>
          </w:p>
        </w:tc>
        <w:tc>
          <w:tcPr/>
          <w:p>
            <w:pPr>
              <w:pStyle w:val="Compact"/>
              <w:jc w:val="left"/>
            </w:pPr>
            <w:r>
              <w:t xml:space="preserve">~34%</w:t>
            </w:r>
          </w:p>
        </w:tc>
        <w:tc>
          <w:tcPr/>
          <w:p>
            <w:pPr>
              <w:pStyle w:val="Compact"/>
              <w:jc w:val="left"/>
            </w:pPr>
            <w:r>
              <w:t xml:space="preserve">ACT + CARE Court + AOT/LPS</w:t>
            </w:r>
          </w:p>
        </w:tc>
        <w:tc>
          <w:tcPr/>
          <w:p>
            <w:pPr>
              <w:pStyle w:val="Compact"/>
              <w:jc w:val="left"/>
            </w:pPr>
            <w:r>
              <w:t xml:space="preserve">Field → Legal → ALMU</w:t>
            </w:r>
          </w:p>
        </w:tc>
      </w:tr>
      <w:tr>
        <w:tc>
          <w:tcPr/>
          <w:p>
            <w:pPr>
              <w:pStyle w:val="Compact"/>
              <w:jc w:val="left"/>
            </w:pPr>
            <w:r>
              <w:t xml:space="preserve">C (Riparian)</w:t>
            </w:r>
          </w:p>
        </w:tc>
        <w:tc>
          <w:tcPr/>
          <w:p>
            <w:pPr>
              <w:pStyle w:val="Compact"/>
              <w:jc w:val="left"/>
            </w:pPr>
            <w:r>
              <w:t xml:space="preserve">Hidden, terrain-adapted, mobile</w:t>
            </w:r>
          </w:p>
        </w:tc>
        <w:tc>
          <w:tcPr/>
          <w:p>
            <w:pPr>
              <w:pStyle w:val="Compact"/>
              <w:jc w:val="left"/>
            </w:pPr>
            <w:r>
              <w:t xml:space="preserve">+20–30% above PIT count</w:t>
            </w:r>
          </w:p>
        </w:tc>
        <w:tc>
          <w:tcPr/>
          <w:p>
            <w:pPr>
              <w:pStyle w:val="Compact"/>
              <w:jc w:val="left"/>
            </w:pPr>
            <w:r>
              <w:t xml:space="preserve">FLIR + environmental enforcement</w:t>
            </w:r>
          </w:p>
        </w:tc>
        <w:tc>
          <w:tcPr/>
          <w:p>
            <w:pPr>
              <w:pStyle w:val="Compact"/>
              <w:jc w:val="left"/>
            </w:pPr>
            <w:r>
              <w:t xml:space="preserve">LARWQCB → Warm Offer → ALMU</w:t>
            </w:r>
          </w:p>
        </w:tc>
      </w:tr>
      <w:tr>
        <w:tc>
          <w:tcPr/>
          <w:p>
            <w:pPr>
              <w:pStyle w:val="Compact"/>
              <w:jc w:val="left"/>
            </w:pPr>
            <w:r>
              <w:t xml:space="preserve">D — Nomadic</w:t>
            </w:r>
          </w:p>
        </w:tc>
        <w:tc>
          <w:tcPr/>
          <w:p>
            <w:pPr>
              <w:pStyle w:val="Compact"/>
              <w:jc w:val="left"/>
            </w:pPr>
            <w:r>
              <w:t xml:space="preserve">Voluntary outdoor living, preference-based</w:t>
            </w:r>
          </w:p>
        </w:tc>
        <w:tc>
          <w:tcPr/>
          <w:p>
            <w:pPr>
              <w:pStyle w:val="Compact"/>
              <w:jc w:val="left"/>
            </w:pPr>
            <w:r>
              <w:t xml:space="preserve">~5%</w:t>
            </w:r>
          </w:p>
        </w:tc>
        <w:tc>
          <w:tcPr/>
          <w:p>
            <w:pPr>
              <w:pStyle w:val="Compact"/>
              <w:jc w:val="left"/>
            </w:pPr>
            <w:r>
              <w:t xml:space="preserve">Harm reduction, no placement requirement</w:t>
            </w:r>
          </w:p>
        </w:tc>
        <w:tc>
          <w:tcPr/>
          <w:p>
            <w:pPr>
              <w:pStyle w:val="Compact"/>
              <w:jc w:val="left"/>
            </w:pPr>
            <w:r>
              <w:t xml:space="preserve">Ground Floor open access only</w:t>
            </w:r>
          </w:p>
        </w:tc>
      </w:tr>
    </w:tbl>
    <w:p>
      <w:pPr>
        <w:pStyle w:val="BodyText"/>
      </w:pPr>
      <w:r>
        <w:t xml:space="preserve">Note: Arthur demonstrates Pipeline B (engageable, pet barrier resolved by zero-separation policy). Jenifer demonstrates Pipeline C (compelled pathway, anosognosia, CARE Court). Marcus demonstrates Pipeline A (economically displaced, intact cognition, rapid exit).</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pPr>
        <w:pStyle w:val="BodyText"/>
      </w:pPr>
      <w:r>
        <w:rPr>
          <w:iCs/>
          <w:i/>
        </w:rPr>
        <w:t xml:space="preserve">A complete plain-language overview of the MDI engineering framework—including all five operations, the pipeline taxonomy, the fiscal architecture, and the eight verification metrics—is available at bikepaths.org/blog/topics/audio/podcasts/conceptual_framework/MDI_Engineering_Framework_Plain-Language_Guide.htm</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completely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To critics who study the design from afar, this threshold filtering looks like a contradiction. They argue that a facility claiming a zero-gate mandate cannot simultaneously maintain an active security filter at the door. They claim that ejecting anyone, even a predator, transforms the zero-gate commons into a guarded border.</w:t>
      </w:r>
    </w:p>
    <w:p>
      <w:pPr>
        <w:pStyle w:val="BodyText"/>
      </w:pPr>
      <w:r>
        <w:t xml:space="preserve">The intake coordinator understands the error in this analysis. Zero-gate protocol does not mean the absence of safety boundaries; it means the absolute elimination of administrative barriers. The tower demands no identification, no proof of sobriety, and no compliance paperwork before granting shelter, because those bureaucratic gates systematically lock out the most damaged casualties. By removing the forms and the questions, the tower remains open to the biological emergencies that traditional systems refuse to touch.</w:t>
      </w:r>
    </w:p>
    <w:p>
      <w:pPr>
        <w:pStyle w:val="BodyText"/>
      </w:pPr>
      <w:r>
        <w:t xml:space="preserve">But a zero-gate space for victims cannot exist without aggressive behavioral security. If the facility allows predators to enter and seek targets, the lobby ceases to be a refuge and instead becomes a dense, high-yield hunting ground. The security staff does not enforce administrative rules or police personal conduct. They protect the biological vulnerability of the residents. Ejecting active exploiters at the threshold is not an administrative gate; it is a clinical prerequisite that makes the zero-gate entry safe for the helpless.</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the suite with you initially. We have pet accommodations built right into the room. When you’re ready to transition to a community pod upstairs, he’ll move to the veterinary kennel on the second floor with open daily visitation. Since dogs aren’t allowed in the corridors or common areas, you’ll visit him there. You won’t be separated.</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 Instead, the infrastructure mandated absolute elimination of congregate dormitories, strictly enforcing individual acoustic isolation.</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heard the soft, rhythmic breathing of Buster sleeping in the padded pet alcove near the bathroom.</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Sociologists studying the block from academic departments argue that this distinction is too clean. They claim that separating the population into bloodless victims and active predators ignores the messy survival economics of the street. They point out that a user might sell bags to fund their own habit, or carry a blade to protect a tent, blurring the line between predator and prey.</w:t>
      </w:r>
    </w:p>
    <w:p>
      <w:pPr>
        <w:pStyle w:val="BodyText"/>
      </w:pPr>
      <w:r>
        <w:t xml:space="preserve">But this academic sympathy misreads the raw power differential. The man in the grey hoodie is not trading to survive; he is extracting value from bodies that can no longer calculate their own survival. His commerce relies on the neurological destruction of the women around him. Encampments function as a high-density, low-risk marketplace where predators exploit the defenseless because they know the victims cannot call for help and the police cannot easily isolate the crime from the chaos. Conflating this parasitic economy with the subsistence efforts of a dying population is a category error that serves only to protect the parasite. When the MDI model extracts the victim, the host is removed and the predator is stripped of both customers and human camouflage.</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Critics of the MDI model condemn this process as state-sanctioned abduction. Civil libertarians argue that stripping an individual of the right to refuse shelter or treatment is an unacceptable expansion of carceral authority, representing a return to historical asylum abuses under a medicalized veneer. They claim that liberty must include the freedom to remain in public space, even if that choice leads to physical decline.</w:t>
      </w:r>
    </w:p>
    <w:p>
      <w:pPr>
        <w:pStyle w:val="BodyText"/>
      </w:pPr>
      <w:r>
        <w:t xml:space="preserve">The judge rejects this position as a failure of basic moral logic. The law does not protect liberty by codifying abandonment. When chronic trauma, exposure, and chemical dependency destroy the neural tissue of the prefrontal cortex, the biological hardware of free will is gone. A person who cannot perceive a speeding delivery vehicle, or who lies with open gangrenous wounds in ninety-degree heat wrapped in wool, is not exercising choice. They are trapped in a feedback loop of physiological destruction. Under the capability approach, true human freedom is not the negative right to rot in a gutter; it is the positive capacity to function as a human being. The state conservatorship is a protective intervention designed to rebuild that capacity. To prioritize the theoretical aesthetic of negative liberty over the biological necessity of survival is a category error that sentences the helpless to slow, public death.</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stabilization suite measured twelve feet by fourteen feet, designed with the clean, quiet comfort of a premium hotel. Behind smooth, seamless acoustic wall panels, an advanced environmental control system maintained the air at a steady sixty-eight degrees and forty percent relative humidity in absolute silence. A private bathroom, equipped with a full bath and pre-set, regulated hot water, sat behind a sliding door. In the corner, a dedicated alcove with a cushioned floor pad stood ready for a resident’s pet, accommodating the animal companion. Natural sunlight entered through a sealed, double-glazed window. A living wall of low-maintenance ferns and moss occupied the panel beside the bathroom door, part of the biophilic design specification that the MDI architecture required on every residential floor. A wall-mounted media screen, call buttons, an outbound telephone, and network access points provided connectivity and diversion. The room was not a cell. It was a medical sanctuary engineered to the biological specifications that street survival destroys.</w:t>
      </w:r>
    </w:p>
    <w:p>
      <w:pPr>
        <w:pStyle w:val="BodyText"/>
      </w:pPr>
      <w:r>
        <w:t xml:space="preserve">For the vast majority of residents who entered Tower One’s Phase Zero decompression wing, the stabilization suite functioned as a voluntary recovery environment. Pipeline 1 and Pipeline 2 residents received digital keycards at intake. They locked and unlocked their own doors. They controlled the media screen, adjusted the ambient lighting, used the bath at any hour, and picked up the outbound telephone to speak with friends, relatives, caseworkers, or journalists, anyone they chose to call. Residents with animal companions kept their pets in the cushioned alcove beside the bathroom, maintaining the zero-separation bond that the MDI architecture treated as a clinical asset rather than a logistical inconvenience. Many of these residents required no formal metabolic stabilization protocol at all; they needed acoustic sanctuary, uninterrupted sleep, and the biological certainty that no threat would breach their walls. When they chose to leave, they requested an exit interview with the floor coordinator, signed a brief discharge summary, and walked out through the lobby with their belongings and their animals. The suite restored capability. The resident retained agency throughout.</w:t>
      </w:r>
    </w:p>
    <w:p>
      <w:pPr>
        <w:pStyle w:val="BodyText"/>
      </w:pPr>
      <w:r>
        <w:t xml:space="preserve">This voluntary baseline defined the operational identity of the decompression wing. The suite existed to provide the biological preconditions for human function that Amartya Sen’s capability framework identifies as the state’s foundational obligation: not merely resources delivered, but the physical capacity to convert those resources into a life worth choosing. A locked door the resident controls. Silence deep enough to permit sleep. Warmth regulated to the thermoneutral zone. Water heated to a preset temperature that eliminates the sensory shock of cold plumbing. These are not amenities. They are the minimum architectural inputs required to halt cortisol flooding, restore circadian rhythm, and return the prefrontal cortex to the baseline from which voluntary decision-making becomes neurologically possible.</w:t>
      </w:r>
    </w:p>
    <w:p>
      <w:pPr>
        <w:pStyle w:val="BodyText"/>
      </w:pPr>
      <w:r>
        <w:t xml:space="preserve">But the same architecture that healed the voluntary resident also served a second, distinct function for individuals who had lost the biological capacity to choose healing for themselves.</w:t>
      </w:r>
    </w:p>
    <w:p>
      <w:pPr>
        <w:pStyle w:val="BodyText"/>
      </w:pPr>
      <w:r>
        <w:t xml:space="preserve">Jenifer arrived under a court-ordered LPS conservatorship, the legal instrument described in Chapter 8. Her keycard reader operated in override-only mode. Her door locked from the corridor side, and only credentialed medical personnel could release the magnetic seal. The intake team had powered down the media screen, the network access points, and the call buttons to provide her damaged sensory circuits with a period of absolute rest. Under all other conditions, the suite remained secured, providing containment and safety without the intrusive checks, counseling pamphlets, or forced interactions that would trigger her survival panic.</w:t>
      </w:r>
    </w:p>
    <w:p>
      <w:pPr>
        <w:pStyle w:val="BodyText"/>
      </w:pPr>
      <w:r>
        <w:t xml:space="preserve">Jenifer screamed for the first six hours.</w:t>
      </w:r>
    </w:p>
    <w:p>
      <w:pPr>
        <w:pStyle w:val="BodyText"/>
      </w:pPr>
      <w:r>
        <w:t xml:space="preserve">She pounded her fists against the heavy wood-veneer door until her knuckles split, then collapsed onto the padded edge of the bed. The acoustic insulation absorbed her voice like a sponge.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suites would transform the entire floor into a feedback loop of escalating terror. Each suite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Critics of the MDI model label this locked acoustic isolation as sensory torture. They argue that placing a highly agitated, psychotic resident into a sealed room with STC-65 soundproofing is equivalent to solitary confinement, which is known to cause severe mental deterioration. They demand that staff remain present in the room to provide human reassurance.</w:t>
      </w:r>
    </w:p>
    <w:p>
      <w:pPr>
        <w:pStyle w:val="BodyText"/>
      </w:pPr>
      <w:r>
        <w:t xml:space="preserve">The clinical team rejects this critique as a failure of biological reasoning. Punitive solitary confinement in prisons strips all meaningful stimuli while leaving the subject exposed to sudden, unpredictable threats like guard keys, cell checks, and ambient screaming. That environment elevates cortisol and exacerbates trauma. The civil libertarian position that equates acoustic medical stabilization with carceral punishment relies on a baseline of biological abandonment: the implicit assertion that leaving Jenifer on the pavement at Fifth and San Pedro, sorting torn clothing while delivery trucks pass inches from her skull, constitutes a defensible expression of personal liberty. It does not. A nervous system that cannot perceive a speeding vehicle is not exercising freedom. It is trapped in a feedback loop of physiological destruction that no amount of theoretical autonomy can interrupt.</w:t>
      </w:r>
    </w:p>
    <w:p>
      <w:pPr>
        <w:pStyle w:val="BodyText"/>
      </w:pPr>
      <w:r>
        <w:t xml:space="preserve">The STC-65 stabilization suite functions on the opposite principle. It operates as a sensory intensive care unit. For an individual whose amygdala has been battered by years of street exposure, any human voice, clipboard, or direct eye contact is processed as an immediate, lethal threat. The brain cannot heal if the autonomic nervous system remains locked in a state of alarm. By sealing the room against the low-frequency rumble of the city and the high-frequency footsteps in the corridor, the architecture removes all threat vectors from the environment. The non-intrusive biometric sensor strip in the bed frame monitors the resident without requiring a nurse to open the door, eliminating the startle responses that reset the biological clock of panic. The silence is not a punishment; it is a clinical shield that allows the adrenal system to stand down.</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paneled wall with the rotation of the earth. She was not resting; she was merely failing to sustain the metabolic cost of full-spectrum panic.</w:t>
      </w:r>
    </w:p>
    <w:p>
      <w:pPr>
        <w:pStyle w:val="BodyText"/>
      </w:pPr>
      <w:r>
        <w:t xml:space="preserve">A meal tray arrived through a dual-door pass-through slot built into the wall. The outer door locked automatically when the inner door opened, preserving the acoustic seal.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developmental memory, now that the constant external threat bombardment had been architecturally removed.</w:t>
      </w:r>
    </w:p>
    <w:p>
      <w:pPr>
        <w:pStyle w:val="BodyText"/>
      </w:pPr>
      <w:r>
        <w:t xml:space="preserve">The quiet walls held. The silence pressed inward. Seventy-two hours after the conservatorship order placed her in medical care,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 completely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 completely.</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entirely from the other demographic pipelines. He did not require the ninety-day STC-65 Phase Zero decompression protocol that Arthur needed to recover from three years of riverbed hyper-vigilance. He did not need the court-ordered medical containment that Jenifer’s conservatorship required.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6"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frowning.</w:t>
      </w:r>
      <w:r>
        <w:t xml:space="preserve"> </w:t>
      </w:r>
      <w:r>
        <w:t xml:space="preserve">“</w:t>
      </w:r>
      <w:r>
        <w:t xml:space="preserve">I have two concerns with this real estate acquisition. First, critics claim this program is a public bailout for downtown office owners whose properties lost value when remote work emptied the city. We are spending millions of public dollars to purchase commercial real estate. Second, how did you bypass the municipal zoning codes and environmental reviews that normally delay residential development for five to seven years?</w:t>
      </w:r>
      <w:r>
        <w:t xml:space="preserve">”</w:t>
      </w:r>
    </w:p>
    <w:p>
      <w:pPr>
        <w:pStyle w:val="BodyText"/>
      </w:pPr>
      <w:r>
        <w:t xml:space="preserve">The deputy director adjusted her glasses.</w:t>
      </w:r>
      <w:r>
        <w:t xml:space="preserve"> </w:t>
      </w:r>
      <w:r>
        <w:t xml:space="preserve">“</w:t>
      </w:r>
      <w:r>
        <w:t xml:space="preserve">To the first concern, this is not a bailout; it is an asset acquisition at a steep market discount. By purchasing Class B inventory at seventy-one dollars per square foot, the county secures a major structural asset at a fraction of its replacement cost. If we attempted to build this capacity from bare ground, construction costs alone would exceed four hundred dollars per square foot. We are leveraging commercial distress to build public infrastructure. To the second concern, we bypassed residential zoning queues by classifying the towers as municipal public utility structures. The MDI tower operates under the same administrative framework as a water treatment plant or an electrical substation. When a city faces a public health and safety crisis of this magnitude, the state emergency code permits the override of standard residential zoning ordinances. We are not building traditional apartments; we are deploying critical life-safety infrastructure designed to arrest biological decay.</w:t>
      </w:r>
      <w:r>
        <w:t xml:space="preserve">”</w:t>
      </w:r>
    </w:p>
    <w:p>
      <w:pPr>
        <w:pStyle w:val="BodyText"/>
      </w:pPr>
      <w:r>
        <w:t xml:space="preserve">The supervisor reviewed his notes.</w:t>
      </w:r>
      <w:r>
        <w:t xml:space="preserve"> </w:t>
      </w:r>
      <w:r>
        <w:t xml:space="preserve">“</w:t>
      </w:r>
      <w:r>
        <w:t xml:space="preserve">Let’s look at performance. 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The supervisor at the far end of the dais leaned into his microphone.</w:t>
      </w:r>
      <w:r>
        <w:t xml:space="preserve"> </w:t>
      </w:r>
      <w:r>
        <w:t xml:space="preserve">“</w:t>
      </w:r>
      <w:r>
        <w:t xml:space="preserve">But you are proposing a single engineering intervention for a crisis that is fundamentally systemic. Homelessness is rooted in housing market failure, deindustrialization, structural racism, and psychiatric illness. How can a concrete tower, no matter how quiet, solve these deep structural problems? Isn’t this just a technocratic silver bullet?</w:t>
      </w:r>
      <w:r>
        <w:t xml:space="preserve">”</w:t>
      </w:r>
    </w:p>
    <w:p>
      <w:pPr>
        <w:pStyle w:val="BodyText"/>
      </w:pPr>
      <w:r>
        <w:t xml:space="preserve">The deputy director shook her head.</w:t>
      </w:r>
      <w:r>
        <w:t xml:space="preserve"> </w:t>
      </w:r>
      <w:r>
        <w:t xml:space="preserve">“</w:t>
      </w:r>
      <w:r>
        <w:t xml:space="preserve">MDI does not claim to resolve long-term economic inequality, housing markets, or structural poverty. It does not replace the social programs, vocational training, or psychiatric services that this county operates. It restores the biological floor required for any of those programs to function. When a person’s brain is locked in chronic sleep deprivation and cortisol toxicity, they lack the neurological capacity to participate in cognitive behavioral therapy, job interviews, or independent housing searches. Their prefrontal cortex is offline. The tower is not a complete solution; it is a clinical prerequisite. By stabilizing the metabolism and resting the nervous system first, we build the neurological platform that your social services require to succeed.</w:t>
      </w:r>
      <w:r>
        <w:t xml:space="preserve">”</w:t>
      </w:r>
    </w:p>
    <w:p>
      <w:pPr>
        <w:pStyle w:val="BodyText"/>
      </w:pPr>
      <w:r>
        <w:t xml:space="preserve">A third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Before addressing the fifth pipeline, the board must understand the operational baseline: the overwhelming majority of our residents enter the tower entirely voluntarily because the architecture offers genuine biological sanctuary. They are victims. But the conflation you just described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finally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bookmarkStart w:id="35" w:name="the-eight-verification-metrics"/>
    <w:p>
      <w:pPr>
        <w:pStyle w:val="Heading3"/>
      </w:pPr>
      <w:r>
        <w:t xml:space="preserve">The Eight Verification Metrics</w:t>
      </w:r>
    </w:p>
    <w:p>
      <w:pPr>
        <w:pStyle w:val="FirstParagraph"/>
      </w:pPr>
      <w:r>
        <w:rPr>
          <w:iCs/>
          <w:i/>
        </w:rPr>
        <w:t xml:space="preserve">The fiscal efficiency described in this chapter is not a projection based on intention. It is a falsifiable claim evaluated against eight binary verification metrics constituting the Singular Prototype Threshold. All eight must pass at One California Plaza before a single additional tower is acquired. Failure of any metric halts network expansion and triggers architectural revision. This clause is the difference between a policy proposal—evaluated on intention—and an engineering specification—evaluated on measured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What Is Being Measured</w:t>
            </w:r>
          </w:p>
        </w:tc>
        <w:tc>
          <w:tcPr/>
          <w:p>
            <w:pPr>
              <w:pStyle w:val="Compact"/>
              <w:jc w:val="left"/>
            </w:pPr>
            <w:r>
              <w:rPr>
                <w:bCs/>
                <w:b/>
              </w:rPr>
              <w:t xml:space="preserve">Threshold to Pass</w:t>
            </w:r>
          </w:p>
        </w:tc>
        <w:tc>
          <w:tcPr/>
          <w:p>
            <w:pPr>
              <w:pStyle w:val="Compact"/>
              <w:jc w:val="left"/>
            </w:pPr>
            <w:r>
              <w:rPr>
                <w:bCs/>
                <w:b/>
              </w:rPr>
              <w:t xml:space="preserve">How Verified</w:t>
            </w:r>
          </w:p>
        </w:tc>
      </w:tr>
      <w:tr>
        <w:tc>
          <w:tcPr/>
          <w:p>
            <w:pPr>
              <w:pStyle w:val="Compact"/>
              <w:jc w:val="left"/>
            </w:pPr>
            <w:r>
              <w:rPr>
                <w:bCs/>
                <w:b/>
              </w:rPr>
              <w:t xml:space="preserve">1</w:t>
            </w:r>
          </w:p>
        </w:tc>
        <w:tc>
          <w:tcPr/>
          <w:p>
            <w:pPr>
              <w:pStyle w:val="Compact"/>
              <w:jc w:val="left"/>
            </w:pPr>
            <w:r>
              <w:t xml:space="preserve">Encampment reduction in target zone</w:t>
            </w:r>
          </w:p>
        </w:tc>
        <w:tc>
          <w:tcPr/>
          <w:p>
            <w:pPr>
              <w:pStyle w:val="Compact"/>
              <w:jc w:val="left"/>
            </w:pPr>
            <w:r>
              <w:t xml:space="preserve">70–80% within 24 months of activation</w:t>
            </w:r>
          </w:p>
        </w:tc>
        <w:tc>
          <w:tcPr/>
          <w:p>
            <w:pPr>
              <w:pStyle w:val="Compact"/>
              <w:jc w:val="left"/>
            </w:pPr>
            <w:r>
              <w:t xml:space="preserve">LAHSA Point-in-Time methodology</w:t>
            </w:r>
          </w:p>
        </w:tc>
      </w:tr>
      <w:tr>
        <w:tc>
          <w:tcPr/>
          <w:p>
            <w:pPr>
              <w:pStyle w:val="Compact"/>
              <w:jc w:val="left"/>
            </w:pPr>
            <w:r>
              <w:rPr>
                <w:bCs/>
                <w:b/>
              </w:rPr>
              <w:t xml:space="preserve">2</w:t>
            </w:r>
          </w:p>
        </w:tc>
        <w:tc>
          <w:tcPr/>
          <w:p>
            <w:pPr>
              <w:pStyle w:val="Compact"/>
              <w:jc w:val="left"/>
            </w:pPr>
            <w:r>
              <w:t xml:space="preserve">Continuous housing retention</w:t>
            </w:r>
          </w:p>
        </w:tc>
        <w:tc>
          <w:tcPr/>
          <w:p>
            <w:pPr>
              <w:pStyle w:val="Compact"/>
              <w:jc w:val="left"/>
            </w:pPr>
            <w:r>
              <w:t xml:space="preserve">≥85% at 24 months post-placement</w:t>
            </w:r>
          </w:p>
        </w:tc>
        <w:tc>
          <w:tcPr/>
          <w:p>
            <w:pPr>
              <w:pStyle w:val="Compact"/>
              <w:jc w:val="left"/>
            </w:pPr>
            <w:r>
              <w:t xml:space="preserve">HMIS registry tracking</w:t>
            </w:r>
          </w:p>
        </w:tc>
      </w:tr>
      <w:tr>
        <w:tc>
          <w:tcPr/>
          <w:p>
            <w:pPr>
              <w:pStyle w:val="Compact"/>
              <w:jc w:val="left"/>
            </w:pPr>
            <w:r>
              <w:rPr>
                <w:bCs/>
                <w:b/>
              </w:rPr>
              <w:t xml:space="preserve">3</w:t>
            </w:r>
          </w:p>
        </w:tc>
        <w:tc>
          <w:tcPr/>
          <w:p>
            <w:pPr>
              <w:pStyle w:val="Compact"/>
              <w:jc w:val="left"/>
            </w:pPr>
            <w:r>
              <w:t xml:space="preserve">Emergency service cost reduction</w:t>
            </w:r>
          </w:p>
        </w:tc>
        <w:tc>
          <w:tcPr/>
          <w:p>
            <w:pPr>
              <w:pStyle w:val="Compact"/>
              <w:jc w:val="left"/>
            </w:pPr>
            <w:r>
              <w:t xml:space="preserve">≥$40,000 per resident per year</w:t>
            </w:r>
          </w:p>
        </w:tc>
        <w:tc>
          <w:tcPr/>
          <w:p>
            <w:pPr>
              <w:pStyle w:val="Compact"/>
              <w:jc w:val="left"/>
            </w:pPr>
            <w:r>
              <w:t xml:space="preserve">County fiscal audit</w:t>
            </w:r>
          </w:p>
        </w:tc>
      </w:tr>
      <w:tr>
        <w:tc>
          <w:tcPr/>
          <w:p>
            <w:pPr>
              <w:pStyle w:val="Compact"/>
              <w:jc w:val="left"/>
            </w:pPr>
            <w:r>
              <w:rPr>
                <w:bCs/>
                <w:b/>
              </w:rPr>
              <w:t xml:space="preserve">4</w:t>
            </w:r>
          </w:p>
        </w:tc>
        <w:tc>
          <w:tcPr/>
          <w:p>
            <w:pPr>
              <w:pStyle w:val="Compact"/>
              <w:jc w:val="left"/>
            </w:pPr>
            <w:r>
              <w:t xml:space="preserve">Voluntary acceptance rate—Pipeline B</w:t>
            </w:r>
          </w:p>
        </w:tc>
        <w:tc>
          <w:tcPr/>
          <w:p>
            <w:pPr>
              <w:pStyle w:val="Compact"/>
              <w:jc w:val="left"/>
            </w:pPr>
            <w:r>
              <w:t xml:space="preserve">≥55% at targeted warm offer</w:t>
            </w:r>
          </w:p>
        </w:tc>
        <w:tc>
          <w:tcPr/>
          <w:p>
            <w:pPr>
              <w:pStyle w:val="Compact"/>
              <w:jc w:val="left"/>
            </w:pPr>
            <w:r>
              <w:t xml:space="preserve">Field ACT team records</w:t>
            </w:r>
          </w:p>
        </w:tc>
      </w:tr>
      <w:tr>
        <w:tc>
          <w:tcPr/>
          <w:p>
            <w:pPr>
              <w:pStyle w:val="Compact"/>
              <w:jc w:val="left"/>
            </w:pPr>
            <w:r>
              <w:rPr>
                <w:bCs/>
                <w:b/>
              </w:rPr>
              <w:t xml:space="preserve">5</w:t>
            </w:r>
          </w:p>
        </w:tc>
        <w:tc>
          <w:tcPr/>
          <w:p>
            <w:pPr>
              <w:pStyle w:val="Compact"/>
              <w:jc w:val="left"/>
            </w:pPr>
            <w:r>
              <w:t xml:space="preserve">Legal lever Pipeline C augmentation</w:t>
            </w:r>
          </w:p>
        </w:tc>
        <w:tc>
          <w:tcPr/>
          <w:p>
            <w:pPr>
              <w:pStyle w:val="Compact"/>
              <w:jc w:val="left"/>
            </w:pPr>
            <w:r>
              <w:t xml:space="preserve">≥15% of C-cohort housed via compelled pathways</w:t>
            </w:r>
          </w:p>
        </w:tc>
        <w:tc>
          <w:tcPr/>
          <w:p>
            <w:pPr>
              <w:pStyle w:val="Compact"/>
              <w:jc w:val="left"/>
            </w:pPr>
            <w:r>
              <w:t xml:space="preserve">CARE Court / AOT records</w:t>
            </w:r>
          </w:p>
        </w:tc>
      </w:tr>
      <w:tr>
        <w:tc>
          <w:tcPr/>
          <w:p>
            <w:pPr>
              <w:pStyle w:val="Compact"/>
              <w:jc w:val="left"/>
            </w:pPr>
            <w:r>
              <w:rPr>
                <w:bCs/>
                <w:b/>
              </w:rPr>
              <w:t xml:space="preserve">6</w:t>
            </w:r>
          </w:p>
        </w:tc>
        <w:tc>
          <w:tcPr/>
          <w:p>
            <w:pPr>
              <w:pStyle w:val="Compact"/>
              <w:jc w:val="left"/>
            </w:pPr>
            <w:r>
              <w:t xml:space="preserve">Capital recovery timeline</w:t>
            </w:r>
          </w:p>
        </w:tc>
        <w:tc>
          <w:tcPr/>
          <w:p>
            <w:pPr>
              <w:pStyle w:val="Compact"/>
              <w:jc w:val="left"/>
            </w:pPr>
            <w:r>
              <w:t xml:space="preserve">≤45 months from activation to breakeven</w:t>
            </w:r>
          </w:p>
        </w:tc>
        <w:tc>
          <w:tcPr/>
          <w:p>
            <w:pPr>
              <w:pStyle w:val="Compact"/>
              <w:jc w:val="left"/>
            </w:pPr>
            <w:r>
              <w:t xml:space="preserve">Stewardship Authority audit</w:t>
            </w:r>
          </w:p>
        </w:tc>
      </w:tr>
      <w:tr>
        <w:tc>
          <w:tcPr/>
          <w:p>
            <w:pPr>
              <w:pStyle w:val="Compact"/>
              <w:jc w:val="left"/>
            </w:pPr>
            <w:r>
              <w:rPr>
                <w:bCs/>
                <w:b/>
              </w:rPr>
              <w:t xml:space="preserve">7</w:t>
            </w:r>
          </w:p>
        </w:tc>
        <w:tc>
          <w:tcPr/>
          <w:p>
            <w:pPr>
              <w:pStyle w:val="Compact"/>
              <w:jc w:val="left"/>
            </w:pPr>
            <w:r>
              <w:t xml:space="preserve">Sustained Phase Zero clearance</w:t>
            </w:r>
          </w:p>
        </w:tc>
        <w:tc>
          <w:tcPr/>
          <w:p>
            <w:pPr>
              <w:pStyle w:val="Compact"/>
              <w:jc w:val="left"/>
            </w:pPr>
            <w:r>
              <w:t xml:space="preserve">≥70% maintaining ≥2 indicators across 60–90 day window</w:t>
            </w:r>
          </w:p>
        </w:tc>
        <w:tc>
          <w:tcPr/>
          <w:p>
            <w:pPr>
              <w:pStyle w:val="Compact"/>
              <w:jc w:val="left"/>
            </w:pPr>
            <w:r>
              <w:t xml:space="preserve">MHRC clinical records</w:t>
            </w:r>
          </w:p>
        </w:tc>
      </w:tr>
      <w:tr>
        <w:tc>
          <w:tcPr/>
          <w:p>
            <w:pPr>
              <w:pStyle w:val="Compact"/>
              <w:jc w:val="left"/>
            </w:pPr>
            <w:r>
              <w:rPr>
                <w:bCs/>
                <w:b/>
              </w:rPr>
              <w:t xml:space="preserve">8</w:t>
            </w:r>
          </w:p>
        </w:tc>
        <w:tc>
          <w:tcPr/>
          <w:p>
            <w:pPr>
              <w:pStyle w:val="Compact"/>
              <w:jc w:val="left"/>
            </w:pPr>
            <w:r>
              <w:t xml:space="preserve">System throughput integrity</w:t>
            </w:r>
          </w:p>
        </w:tc>
        <w:tc>
          <w:tcPr/>
          <w:p>
            <w:pPr>
              <w:pStyle w:val="Compact"/>
              <w:jc w:val="left"/>
            </w:pPr>
            <w:r>
              <w:t xml:space="preserve">Zero backlog exceeding 15 days for Phase Zero entry</w:t>
            </w:r>
          </w:p>
        </w:tc>
        <w:tc>
          <w:tcPr/>
          <w:p>
            <w:pPr>
              <w:pStyle w:val="Compact"/>
              <w:jc w:val="left"/>
            </w:pPr>
            <w:r>
              <w:t xml:space="preserve">MHRC flow regulator audit</w:t>
            </w:r>
          </w:p>
        </w:tc>
      </w:tr>
    </w:tbl>
    <w:p>
      <w:pPr>
        <w:pStyle w:val="BodyText"/>
      </w:pPr>
      <w:r>
        <w:rPr>
          <w:bCs/>
          <w:b/>
        </w:rPr>
        <w:t xml:space="preserve">Note on Metric 7:</w:t>
      </w:r>
      <w:r>
        <w:t xml:space="preserve"> </w:t>
      </w:r>
      <w:r>
        <w:rPr>
          <w:iCs/>
          <w:i/>
        </w:rPr>
        <w:t xml:space="preserve">This is the causal verification metric. A retention gain at Metric 2 without a clearance gain at Metric 7 cannot be attributed to the Metabolic Stabilization sequencing design. All eight metrics must pass before network expansion proceeds.</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End w:id="36"/>
    <w:bookmarkStart w:id="41" w:name="citations-and-sources"/>
    <w:p>
      <w:pPr>
        <w:pStyle w:val="Heading1"/>
      </w:pPr>
      <w:r>
        <w:t xml:space="preserve">Citations and Sources</w:t>
      </w:r>
    </w:p>
    <w:bookmarkStart w:id="37" w:name="neuroscience-and-polyvagal-theory"/>
    <w:p>
      <w:pPr>
        <w:pStyle w:val="Heading2"/>
      </w:pPr>
      <w:r>
        <w:t xml:space="preserve">Neuroscience and Polyvagal Theory</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X8e6886458ce11af76a1cdbf7c820fda0cda5c8e"/>
    <w:p>
      <w:pPr>
        <w:pStyle w:val="Heading2"/>
      </w:pPr>
      <w:r>
        <w:t xml:space="preserve">Urban Homelessness: Policy and Cost Evidence</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p>
      <w:pPr>
        <w:pStyle w:val="BodyText"/>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pod-integration-and-dunbars-number"/>
    <w:p>
      <w:pPr>
        <w:pStyle w:val="Heading2"/>
      </w:pPr>
      <w:r>
        <w:t xml:space="preserve">Pod Integration and Dunbar’s Number</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housing-first-evidence-and-outcomes"/>
    <w:p>
      <w:pPr>
        <w:pStyle w:val="Heading2"/>
      </w:pPr>
      <w:r>
        <w:t xml:space="preserve">Housing First: Evidence and Outcomes</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p>
      <w:r>
        <w:pict>
          <v:rect style="width:0;height:1.5pt" o:hralign="center" o:hrstd="t" o:hr="t"/>
        </w:pict>
      </w:r>
    </w:p>
    <w:bookmarkEnd w:id="41"/>
    <w:bookmarkStart w:id="42" w:name="about-the-author"/>
    <w:p>
      <w:pPr>
        <w:pStyle w:val="Heading1"/>
      </w:pPr>
      <w:r>
        <w:t xml:space="preserve">About the Author</w:t>
      </w:r>
    </w:p>
    <w:bookmarkEnd w:id="42"/>
    <w:bookmarkStart w:id="43" w:name="about-the-author-1"/>
    <w:p>
      <w:pPr>
        <w:pStyle w:val="Heading1"/>
      </w:pPr>
      <w:r>
        <w:t xml:space="preserve">About the Author</w:t>
      </w:r>
    </w:p>
    <w:p>
      <w:pPr>
        <w:pStyle w:val="FirstParagraph"/>
      </w:pPr>
      <w:r>
        <w:t xml:space="preserve">Charles J. DiBella is a Principal Systems Architect whose work sits at the intersection of urban economics, clinical systems design, and public infrastructure engineering. Since 1997, DiBella has lived and traveled full-time by bicycle—logging thousands of miles across coast-to-coast American journeys alongside extensive tours through Southeast Asia and Europe. This life, conducted at street level and sustained across three decades, provided the observational foundation for the Material Dignity Infrastructure.</w:t>
      </w:r>
    </w:p>
    <w:p>
      <w:pPr>
        <w:pStyle w:val="BodyText"/>
      </w:pPr>
      <w:r>
        <w:t xml:space="preserve">The MDI framework did not emerge from academic study of homelessness. It emerged from direct, sustained immersion in the physical realities of street life: the metabolic destruction of outdoor sleeping, the survival architecture that encampment communities build under pressure, the rational logic behind shelter refusal, and the precise moment when voluntary engagement becomes physiologically possible.</w:t>
      </w:r>
    </w:p>
    <w:p>
      <w:pPr>
        <w:pStyle w:val="BodyText"/>
      </w:pPr>
      <w:r>
        <w:t xml:space="preserve">DiBella’s background spans architectural design, blueprint and implementation science, and engineering—disciplines that train practitioners to think in specifications, tolerances, and falsifiable performance thresholds rather than intentions and policy proposals. The MDI framework reflects that disciplinary grounding: it is an industrial specification, not a program description. Four working papers in the Material Dignity Infrastructure series are available via SSRN. This volume is the fourth book in a companion series published through Amazon KDP. Further technical documentation, audio companions, and the plain-language framework guide are available at bikepaths.org.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2026-06-15T23:16:02Z</dcterms:created>
  <dcterms:modified xsi:type="dcterms:W3CDTF">2026-06-15T23:16:02Z</dcterms:modified>
</cp:coreProperties>
</file>

<file path=docProps/custom.xml><?xml version="1.0" encoding="utf-8"?>
<Properties xmlns="http://schemas.openxmlformats.org/officeDocument/2006/custom-properties" xmlns:vt="http://schemas.openxmlformats.org/officeDocument/2006/docPropsVTypes"/>
</file>