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Material Dignity Press</w:t>
      </w:r>
      <w:r>
        <w:t xml:space="preserve"> </w:t>
      </w:r>
      <w:r>
        <w:t xml:space="preserve">Los Angeles, California</w:t>
      </w:r>
    </w:p>
    <w:p>
      <w:pPr>
        <w:pStyle w:val="BodyText"/>
      </w:pPr>
      <w:r>
        <w:t xml:space="preserve">The Material Dignity Infrastructure working papers referenced in this book are available at the Social Science Research Network (SSRN) under Abstract IDs 5968756, 6211658, and 6579600.</w:t>
      </w:r>
    </w:p>
    <w:p>
      <w:pPr>
        <w:pStyle w:val="BodyText"/>
      </w:pPr>
      <w:r>
        <w:t xml:space="preserve">First edition, 2026</w:t>
      </w:r>
    </w:p>
    <w:p>
      <w:r>
        <w:pict>
          <v:rect style="width:0;height:1.5pt" o:hralign="center" o:hrstd="t" o:hr="t"/>
        </w:pict>
      </w:r>
    </w:p>
    <w:p>
      <w:pPr>
        <w:pStyle w:val="FirstParagraph"/>
      </w:pPr>
      <w:r>
        <w:t xml:space="preserve">I have spent thirty years inside the condition this book describes. Not studying it from a position of professional distance, not visiting it on research grants, but living and moving through the unsheltered ecologies of cities across the United States, Southeast Asia, and Europe as a long-distance bicycle tourer since 1997, with the sustained attention that only proximity over time makes possible. That duration is the empirical foundation of everything that follows, and I want to be precise about what it does and does not authorize me to claim.</w:t>
      </w:r>
    </w:p>
    <w:p>
      <w:pPr>
        <w:pStyle w:val="BodyText"/>
      </w:pPr>
      <w:r>
        <w:t xml:space="preserve">It does not authorize me to speak for the people whose circumstances I observed. Their experiences are their own, and no length of proximity transfers that authority. What it does authorize is a specific kind of structural claim, the kind that requires watching the same system fail in the same ways across multiple decades before the pattern becomes impossible to mistake for accident. I have watched California commit twenty-four billion dollars to a crisis that grew larger as the money flowed into it. I have watched municipal sweep operations displace the same populations to the same adjacent locations in cycles short enough to measure in weeks. I have watched the intervention apparatus expand in budget and staff and public presence across the same years during which the people the apparatus claimed to serve accumulated in greater numbers beneath the city’s bridges and along its drainage channels and in the interstitial geographies where enforcement attention is inconsistent and organizational infrastructure has had time to take hold.</w:t>
      </w:r>
    </w:p>
    <w:p>
      <w:pPr>
        <w:pStyle w:val="BodyText"/>
      </w:pPr>
      <w:r>
        <w:t xml:space="preserve">This book is an attempt to account for that pattern with the rigor it demands. It draws on peer-reviewed medical and epidemiological literature, on federal housing policy evidence compiled by the Department of Housing and Urban Development and the United States Interagency Council on Homelessness, on academic research into the structural incentive failures of the nonprofit sector, and on the three working papers I published through the Social Science Research Network between 2025 and 2026 under the collective title Material Dignity Infrastructure. Those papers proposed a specific industrial alternative to the welfare model that the evidence examined here has found inadequate. They are the positive argument that this book’s analysis makes possible, and readers who want to follow the technical specification in detail will find it there.</w:t>
      </w:r>
    </w:p>
    <w:p>
      <w:pPr>
        <w:pStyle w:val="BodyText"/>
      </w:pPr>
      <w:r>
        <w:t xml:space="preserve">What this book does not do is pretend that the pattern it documents is the result of individual malice or political conspiracy. The people who designed and administered the programs whose consequences fill these pages were, with few exceptions, people who believed they were doing something necessary and good. That belief does not insulate policy from examination. The consequences of the programs they built are documented in the clinical literature and in the federal evidence record and in the count of one hundred and eighty-seven thousand people who remained unsheltered in California at the end of the period during which the state spent more money on homelessness than at any prior point in its history. The gap between intention and outcome is the subject of this book. Closing it requires understanding why the gap exists, not because understanding alone resolves anything, but because no durable resolution is possible without it.</w:t>
      </w:r>
    </w:p>
    <w:p>
      <w:r>
        <w:pict>
          <v:rect style="width:0;height:1.5pt" o:hralign="center" o:hrstd="t" o:hr="t"/>
        </w:pict>
      </w:r>
    </w:p>
    <w:p>
      <w:pPr>
        <w:pStyle w:val="FirstParagraph"/>
      </w:pPr>
      <w:r>
        <w:t xml:space="preserve">A video circulated on May 20, 2026 that showed something California had spent twenty-four billion dollars trying not to produce. The man filming it moved slowly through a corridor beneath a Los Angeles overpass, panning across individual living spaces arranged with deliberate care, calling out to his friend to confirm the space was his alone. The lights strung along the concrete support columns were not battery-powered. They drew from the municipal electrical grid, tapped at some upstream junction and routed through extension cords into a network that spread in both directions from where the camera stood. The man spoke with the casual authority of someone narrating the obvious.</w:t>
      </w:r>
    </w:p>
    <w:p>
      <w:pPr>
        <w:pStyle w:val="BodyText"/>
      </w:pPr>
      <w:r>
        <w:t xml:space="preserve">The footage was not an anomaly. It was the logical expression of a system operating at a scale that its official documentation had never acknowledged. California counted more than one hundred and eighty-seven thousand people experiencing homelessness by the most recent available data, with Los Angeles County alone accounting for more than seventy thousand of that total. The state had committed approximately twenty-four billion dollars to addressing the crisis between 2019 and 2024, with later allocations pushing that figure toward thirty-seven billion. The unsheltered population grew throughout the entire period of that expenditure.</w:t>
      </w:r>
    </w:p>
    <w:p>
      <w:pPr>
        <w:pStyle w:val="BodyText"/>
      </w:pPr>
      <w:r>
        <w:t xml:space="preserve">The bridge in the video had no address. This is a structural fact, not a descriptive one. The spaces beneath urban infrastructure exist between jurisdictions, beneath the systems that connect one part of a city to another without quite belonging to either. The people who establish themselves in these spaces make rational calculations about which locations will be left alone long enough to justify investment. A bridge with accessible electrical infrastructure, adequate overhead clearance, and enough physical separation from street-level visibility to reduce enforcement frequency is a resource. The people who identified it as such were performing the same spatial analysis that the city performs when it decides where to route its utilities.</w:t>
      </w:r>
    </w:p>
    <w:p>
      <w:pPr>
        <w:pStyle w:val="BodyText"/>
      </w:pPr>
      <w:r>
        <w:t xml:space="preserve">The word encampment misrepresents what the video shows. Encampment implies impermanence, tents that could be cleared by morning, a situation that has not yet hardened into something requiring a different kind of response. What the footage documented was not impermanent. The lighting infrastructure alone represented a substantial investment of time, material, and technical knowledge. The arrangement of living spaces reflected deliberate planning, not spontaneous occupation. This was a community organized around the shared fact of its exclusion from the city’s official housing economy, built from the resources available to it, which happened to include electricity drawn from the same municipal grid funded by the taxpayers whose money was moving through the intervention apparatus a few miles away.</w:t>
      </w:r>
    </w:p>
    <w:p>
      <w:pPr>
        <w:pStyle w:val="BodyText"/>
      </w:pPr>
      <w:r>
        <w:t xml:space="preserve">The question the footage posed had nothing to do with whether the situation was acceptable. Most people, across a wide range of political positions, would agree that it was not. The harder question was how a situation this elaborate, this expensive to sustain, this deeply integrated into the physical infrastructure of one of the wealthiest cities in the country, had been allowed to develop across the exact years during which the state was spending more money on homelessness than at any previous point in its history. The answer requires looking closely at who benefits from the continuation of the crisis and who would be materially harmed by its genuine resolution. That examination is what this book is about. The situation visible in the May 2026 footage did not happen by accident.</w:t>
      </w:r>
    </w:p>
    <w:p>
      <w:r>
        <w:pict>
          <v:rect style="width:0;height:1.5pt" o:hralign="center" o:hrstd="t" o:hr="t"/>
        </w:pict>
      </w:r>
    </w:p>
    <w:p>
      <w:pPr>
        <w:pStyle w:val="FirstParagraph"/>
      </w:pPr>
      <w:r>
        <w:t xml:space="preserve">Reinaldo Escobar arrived at his central argument through lived experience rather than academic research. Born in Cuba and working as a journalist through decades of state control, he understood from the inside how a government uses material conditions to manage its population. Speaking on Tinima TV in December 2025, he stated the proposition plainly: without material dignity, all freedom is a lie. The sentence is not rhetorical. It is a load-bearing structural claim about how human agency actually functions under conditions of material deprivation.</w:t>
      </w:r>
    </w:p>
    <w:p>
      <w:pPr>
        <w:pStyle w:val="BodyText"/>
      </w:pPr>
      <w:r>
        <w:t xml:space="preserve">The argument begins with a mechanical observation about the human nervous system. A person who cannot reliably satisfy the biological requirements of survival, who wakes each day uncertain about food, shelter, and physical safety, is not in a position to exercise meaningful freedom. The prefrontal executive capacity that makes planning and deliberate choice possible degrades under chronic threat exposure. This is not a moral claim about human dignity. It is a clinical claim about the conditions under which the brain can and cannot function as designed. Material deprivation does not impair freedom. It destroys the neurological substrate on which freedom depends.</w:t>
      </w:r>
    </w:p>
    <w:p>
      <w:pPr>
        <w:pStyle w:val="BodyText"/>
      </w:pPr>
      <w:r>
        <w:t xml:space="preserve">Escobar understood something beyond the clinical mechanism. States that deny adequate material conditions to their populations do not do so because they have failed to provide them. They do so because the denial produces a controllable population. A person whose energy is entirely consumed by the problem of physical survival has no surplus capacity for political organization or sustained civic engagement. The scarcity is the policy. This framework maps with precision onto systems far removed from Cuba, including the municipal intervention apparatus operating in Los Angeles.</w:t>
      </w:r>
    </w:p>
    <w:p>
      <w:pPr>
        <w:pStyle w:val="BodyText"/>
      </w:pPr>
      <w:r>
        <w:t xml:space="preserve">Hannah Arendt identified the same structural problem from the direction of political philosophy. She distinguished between labor, the biological maintenance work that keeps a human organism alive, and action, the genuinely political and creative engagement with the world that constitutes the specifically human capacity for making something new. A life absorbed entirely in labor is a life from which action has been structurally excluded. The street enforces this exclusion. The metabolic demands of unsheltered urban life are total, consuming all available energy before any surplus remains for anything beyond survival.</w:t>
      </w:r>
    </w:p>
    <w:p>
      <w:pPr>
        <w:pStyle w:val="BodyText"/>
      </w:pPr>
      <w:r>
        <w:t xml:space="preserve">Thirty years of participant observation within the unsheltered ecologies of cities across the United States, Southeast Asia, and Europe brought me to a formulation consistent with both Escobar and Arendt. Sovereign space, I wrote in my 2026 working papers, operates as the clinical precondition for stabilization. Sovereign space is not comfort or amenity. It is the minimum acoustic and physical privacy required for the human nervous system to begin recovering from the hypervigilance that chronic outdoor exposure produces. Without it, metabolic stabilization cannot begin. Without metabolic stabilization, no durable change in housing status is possible.</w:t>
      </w:r>
    </w:p>
    <w:p>
      <w:pPr>
        <w:pStyle w:val="BodyText"/>
      </w:pPr>
      <w:r>
        <w:t xml:space="preserve">Three formulations, arriving from lived political experience, political philosophy, and thirty years of participant observation, converge on the same mechanical truth. Material conditions are the precondition for freedom, not its reward. A system that withholds those conditions from a portion of its population is not a system that has failed its stated mission. It may be a system succeeding at a different one. The implications of that convergence for the situation visible in the May 2026 footage are the subject of every chapter that follows.</w:t>
      </w:r>
    </w:p>
    <w:p>
      <w:r>
        <w:pict>
          <v:rect style="width:0;height:1.5pt" o:hralign="center" o:hrstd="t" o:hr="t"/>
        </w:pict>
      </w:r>
    </w:p>
    <w:p>
      <w:pPr>
        <w:pStyle w:val="FirstParagraph"/>
      </w:pPr>
      <w:r>
        <w:t xml:space="preserve">California’s twenty-four billion dollar homelessness expenditure between 2019 and 2024 produced no auditable record of what it accomplished. Legislative audits conducted during the period found that agencies receiving and distributing the funds had applied inconsistent definitions of success across programs and tracked outcomes in ways that made cross-program comparison impossible. In many instances, agencies reported outputs, beds provided, meals distributed, contacts made, rather than outcomes, the number of people who moved from unsheltered conditions into stable housing and remained there. That distinction is the structural hinge on which everything else turns.</w:t>
      </w:r>
    </w:p>
    <w:p>
      <w:pPr>
        <w:pStyle w:val="BodyText"/>
      </w:pPr>
      <w:r>
        <w:t xml:space="preserve">A system funded by outputs has no financial incentive to produce outcomes. This is not a statement about individual bad actors. It is a statement about incentive design. An organization that receives its operating budget based on the number of people it serves has a rational, structural reason to ensure the population it serves remains large. Researcher Frank Perez documented this dynamic in 2025, demonstrating that service organizations had become structurally reliant on the indefinite continuation of the crisis they were formally tasked with solving. Institutional capture does not require conspiracy. It requires only that the incentive environment progressively shape organizational behavior until the organization functions primarily to maintain its own existence.</w:t>
      </w:r>
    </w:p>
    <w:p>
      <w:pPr>
        <w:pStyle w:val="BodyText"/>
      </w:pPr>
      <w:r>
        <w:t xml:space="preserve">The money did not disappear. It moved through the apparatus and produced the outputs the apparatus was organized to produce. It funded staff salaries, facility leases, outreach vehicles, case management software, and the administrative infrastructure required to document all of the above. It funded emergency shelter beds that required occupants to leave by a fixed hour each morning and return through a lottery process each evening, an arrangement that structurally prevented the schedule stability on which any employment pathway depends. What the money did not fund, in quantities proportionate to the scale of the problem, was permanent housing exits.</w:t>
      </w:r>
    </w:p>
    <w:p>
      <w:pPr>
        <w:pStyle w:val="BodyText"/>
      </w:pPr>
      <w:r>
        <w:t xml:space="preserve">The federal evidence on this point was available to California policymakers throughout the entire expenditure period. The Department of Housing and Urban Development (HUD) Exchange evidence brief, drawing on municipal case studies, documented that permanent or short-term housing for encampment residents prevents recurrence and generates gross savings of more than forty-six thousand dollars per person per year compared to leaving people on the streets. Houston engaged 849 encampment residents through a housing-focused strategy and housed sixty-five percent of them. Dallas used a closure-via-housing approach and recorded a twenty-four percent decrease in unsheltered homelessness. These outcomes were in the public record. They did not change California’s practice.</w:t>
      </w:r>
    </w:p>
    <w:p>
      <w:pPr>
        <w:pStyle w:val="BodyText"/>
      </w:pPr>
      <w:r>
        <w:t xml:space="preserve">The organizations receiving state funding are active participants in the political process that determines how that funding is allocated. They hire lobbyists who argue for the expansion of contracts. They build relationships with elected officials whose districts include concentrations of service recipients. They produce data showing the value of their interventions measured in the outputs their funding mechanisms incentivize them to track, and they present that data to the legislative bodies controlling their budgets. The result is a self-reinforcing political economy. The growth of the crisis produces the political conditions for the growth of the apparatus, and the growth of the apparatus produces resistance to any intervention that would genuinely resolve the crisis.</w:t>
      </w:r>
    </w:p>
    <w:p>
      <w:pPr>
        <w:pStyle w:val="BodyText"/>
      </w:pPr>
      <w:r>
        <w:t xml:space="preserve">The Sacramento chambers where these appropriations were authorized were not populated by legislators who wanted the crisis to continue. They responded to the incentive environment the apparatus had constructed around them over decades. The twenty-four billion dollar expenditure was not a conspiracy. It was the output of a democratic process that had been shaped, without anyone’s deliberate intention, into an instrument for producing something other than what it claimed to be producing. What it produced was the situation visible in the May 2026 footage. And the May 2026 footage produced, in turn, the political conditions for another round of appropriations.</w:t>
      </w:r>
    </w:p>
    <w:p>
      <w:r>
        <w:pict>
          <v:rect style="width:0;height:1.5pt" o:hralign="center" o:hrstd="t" o:hr="t"/>
        </w:pict>
      </w:r>
    </w:p>
    <w:p>
      <w:pPr>
        <w:pStyle w:val="FirstParagraph"/>
      </w:pPr>
      <w:r>
        <w:t xml:space="preserve">The sweep begins before dawn, typically between four and six in the morning, when the people sleeping in an encampment are present and not yet organized to respond. Cleaning crews, sanitation vehicles, and police units move through the space quickly. The tents, bedding, and personal property that made the location visibly inhabited are removed. What gets documented as complete is the clearing of the space. What does not get documented is where the people went, what condition they were in when they arrived there, or whether their circumstances improved or deteriorated after the operation ended.</w:t>
      </w:r>
    </w:p>
    <w:p>
      <w:pPr>
        <w:pStyle w:val="BodyText"/>
      </w:pPr>
      <w:r>
        <w:t xml:space="preserve">The federal health literature on this question is not ambiguous. A 2023 study published in the Journal of the American Medical Association (JAMA) examined the population-level health effects of involuntary displacement among people experiencing unsheltered homelessness who inject drugs in United States cities. It found that dispersing encampments without housing residents leads to an increase in disease, death, and shortened life expectancy. When people who inject drugs are displaced from an established encampment without connection to stable housing, they move to locations where the informal networks of overdose response and harm reduction knowledge have not yet accumulated. The displacement does not reduce drug use. It relocates it into conditions where its consequences are more lethal.</w:t>
      </w:r>
    </w:p>
    <w:p>
      <w:pPr>
        <w:pStyle w:val="BodyText"/>
      </w:pPr>
      <w:r>
        <w:t xml:space="preserve">The harm extends beyond the population that injects drugs. Studies published in the Journal of Social Distress and Homelessness, BMC Public Health, and SSM-Qualitative Research in Health documented that involuntary displacement produced increased rates of physical assault, worsening mental health, disrupted sleep, changes in substance use, and increased weather-related harms across the broader unsheltered population. The American Public Health Association concluded in a November 2023 policy statement that forcible displacement of encampments is harmful to the health and well-being of people living unsheltered. The United States Interagency Council on Homelessness (USICH) warned in its nineteen strategies guidance that public camping bans are often ineffective and expensive if they simply move people from one location to another.</w:t>
      </w:r>
    </w:p>
    <w:p>
      <w:pPr>
        <w:pStyle w:val="BodyText"/>
      </w:pPr>
      <w:r>
        <w:t xml:space="preserve">The enforcement apparatus knows this evidence exists. County officials in Los Angeles have access to the same HUD Exchange evidence briefs and USICH guidance documents available to any policy researcher. The gap between what the evidence recommends and what the apparatus does is not a gap caused by ignorance. It is caused by the same incentive structure identified in the previous chapter. A sweep produces a documentable output: a cleared space, a sanitation record, a count of contacts made and services offered. These outputs satisfy the political requirement that elected officials demonstrate visible action. Whether the sweep improves the condition of the people it displaces is a question the apparatus’s measurement infrastructure is not designed to answer.</w:t>
      </w:r>
    </w:p>
    <w:p>
      <w:pPr>
        <w:pStyle w:val="BodyText"/>
      </w:pPr>
      <w:r>
        <w:t xml:space="preserve">Anthony Giddens defined ontological security as the confidence most human beings have in the continuity of their self-identity and the constancy of their surrounding material environment. He identified four markers through which this security is maintained: environmental constancy, reliable daily routines, spatial control over one’s immediate surroundings, and a secure base from which identity can be projected into the world. The street destroys all four simultaneously. A sweep destroys whatever partial recovery toward ontological security an established encampment had made possible. Each displacement resets the clock. My framework identifies this as the primary clinical obstacle to any durable change in housing status, because the hypervigilance that chronic threat exposure produces cannot begin to resolve until the threat environment stabilizes.</w:t>
      </w:r>
    </w:p>
    <w:p>
      <w:pPr>
        <w:pStyle w:val="BodyText"/>
      </w:pPr>
      <w:r>
        <w:t xml:space="preserve">The communities that broke this cycle did not do so by intensifying enforcement. Houston’s sixty-five percent housing rate among 849 engaged encampment residents came from treating the encampment as a point of contact rather than a problem to be cleared. Dallas’s twenty-four percent decrease in unsheltered homelessness came from closing encampments by placing people into housing rather than displacing them into the next block. These outcomes required no new policy tools. They required redirecting existing resources away from the outputs the apparatus was organized to produce and toward the outcomes the evidence had long since identified. That reorientation has not occurred in Los Angeles. The sweep apparatus continues to operate at scale, the unsheltered population continues to grow, and the gap between federal evidence and local practice continues to widen.</w:t>
      </w:r>
    </w:p>
    <w:p>
      <w:r>
        <w:pict>
          <v:rect style="width:0;height:1.5pt" o:hralign="center" o:hrstd="t" o:hr="t"/>
        </w:pict>
      </w:r>
    </w:p>
    <w:p>
      <w:pPr>
        <w:pStyle w:val="FirstParagraph"/>
      </w:pPr>
      <w:r>
        <w:t xml:space="preserve">Washington D.C. offers the most instructive available test of what aggressive enforcement produces when it operates without the housing infrastructure the evidence identifies as the precondition for durable change. Beginning in March 2025, the National Park Service, acting under an executive order directing it to make the capital safe and beautiful, intensified its enforcement of no-camping laws on federal land and closed more than one hundred encampments on federal property over the course of the year. District-led closures rose from fifty-four in 2023 to sixty-nine in 2024 to one hundred and nine in 2025. By early 2026, the District was averaging approximately seventeen clearings per month, roughly double the rate of the prior year. The physical spaces that had been encampments were cleared.</w:t>
      </w:r>
    </w:p>
    <w:p>
      <w:pPr>
        <w:pStyle w:val="BodyText"/>
      </w:pPr>
      <w:r>
        <w:t xml:space="preserve">The clearings did not resolve the underlying condition. Reports from organizations working in the District documented that federal encampment clearings frequently resulted in residents relocating to other areas within the city or to the surrounding jurisdictions of Maryland and Virginia rather than moving into stable housing. Data from 2024 indicated that very few residents encountered during closures were connected to a housing process at all. Enforcement velocity and housing connection rates were operating on entirely separate tracks.</w:t>
      </w:r>
    </w:p>
    <w:p>
      <w:pPr>
        <w:pStyle w:val="BodyText"/>
      </w:pPr>
      <w:r>
        <w:t xml:space="preserve">The operational structure of the D.C. clearings illuminates why. When federal authorities and the National Guard became involved in encampment operations during the period of federalized oversight of D.C. policing in August 2025, local nonprofits reported that clearings sometimes occurred without prior coordination with the District’s own outreach teams. Outreach relationship is not a supplementary element of a housing-based encampment strategy. It is the load-bearing mechanism. Trust accumulated through consistent contact over time is the precondition for a housing offer being accepted rather than declined. An enforcement operation that bypasses outreach infrastructure does not simply fail to connect people to housing. It actively degrades the trust that makes future housing connections possible.</w:t>
      </w:r>
    </w:p>
    <w:p>
      <w:pPr>
        <w:pStyle w:val="BodyText"/>
      </w:pPr>
      <w:r>
        <w:t xml:space="preserve">The outcome data reflects the structural failure. The 2025 Point-in-Time count recorded 5,138 unhoused individuals in D.C., a nine percent decrease from 2024, a figure enforcement advocates cited as evidence of the strategy’s effectiveness. The May 2026 count reversed the result, showing an increase of more than four percent overall, including a sixteen percent increase among families. Two data points together describe a population in motion, cycling through closures, relocations, shelter entries, and shelter exits, without the permanent housing exits the evidence requires for numbers to move durably in a single direction.</w:t>
      </w:r>
    </w:p>
    <w:p>
      <w:pPr>
        <w:pStyle w:val="BodyText"/>
      </w:pPr>
      <w:r>
        <w:t xml:space="preserve">The D.C. case demonstrates a precise and generalizable principle. Enforcement clears spaces. It does not clear conditions. A community cannot sweep its way to a reduced unsheltered population unless the sweeps are structured to deliver residents into housing rather than into the next available unsurveilled location. Houston and Dallas demonstrated this distinction through their outcomes. D.C. demonstrated it through the absence of durable outcomes despite unprecedented enforcement scale. The architecture of accountability the title of this chapter promises is not an architecture of enforcement. It is the far more demanding architecture of measuring what happens to people after the apparatus touches them, and building the infrastructure required to make that measurement produce a different answer.</w:t>
      </w:r>
    </w:p>
    <w:p>
      <w:r>
        <w:pict>
          <v:rect style="width:0;height:1.5pt" o:hralign="center" o:hrstd="t" o:hr="t"/>
        </w:pict>
      </w:r>
    </w:p>
    <w:p>
      <w:pPr>
        <w:pStyle w:val="FirstParagraph"/>
      </w:pPr>
      <w:r>
        <w:t xml:space="preserve">Five chapters of evidence converge on a single structural finding. The municipal intervention apparatus, funded at unprecedented levels in California history, grew alongside rather than against the crisis it claimed to be addressing. The federal health literature established that the apparatus’s primary operational tool, the encampment sweep, produces measurable harm to the populations it displaces. The academic literature on institutional capture explained why this outcome is structural rather than accidental. The D.C. case demonstrated that enforcement velocity without housing infrastructure redistributes rather than resolves the underlying condition. Reinaldo Escobar named the dynamic precisely: a system organized to deny material dignity to a portion of its population is not failing its stated mission. It is succeeding at a different one.</w:t>
      </w:r>
    </w:p>
    <w:p>
      <w:pPr>
        <w:pStyle w:val="BodyText"/>
      </w:pPr>
      <w:r>
        <w:t xml:space="preserve">My MDI working papers, published on the Social Science Research Network (SSRN) across 2025 and 2026 and representing thirty years of participant observation within unsheltered urban ecologies across three continents, propose a specific structural alternative. The proposal begins with a categorical distinction. Shelter, hygiene, thermal safety, and acoustic privacy are not goods that a compassionate society may choose to provide. They are biological necessities, requirements of the human organism without which the neurological and physiological preconditions for any durable change in housing status cannot function. Treating them as conditional welfare benefits is a categorical error. That error is the source of the apparatus the preceding chapters have documented.</w:t>
      </w:r>
    </w:p>
    <w:p>
      <w:pPr>
        <w:pStyle w:val="BodyText"/>
      </w:pPr>
      <w:r>
        <w:t xml:space="preserve">This framework reclassifies these necessities as public industrial consumables, delivered at cost through a utility model rather than allocated through a welfare model. The differences are structural and consequential. Utilities are not means-tested. They are not conditioned on behavioral compliance. They are not administered by organizations whose funding depends on the continuation of the crisis the utility exists to resolve. They are delivered to everyone who connects to the system because the system’s logic is industrial rather than charitable.</w:t>
      </w:r>
    </w:p>
    <w:p>
      <w:pPr>
        <w:pStyle w:val="BodyText"/>
      </w:pPr>
      <w:r>
        <w:t xml:space="preserve">The MDI specification proposes what I call a street-to-home pipeline: a sequence of precisely defined stages beginning with metabolic stabilization, the physiological recovery that requires, at minimum, acoustic and spatial privacy, reliable nutrition, and access to hygiene. Each subsequent stage moves toward increasing residential autonomy until permanent housing is achieved. Each stage is verified through auditable metrics rather than professional judgment. Auditable metrics can be falsified by evidence in a way that professional judgment cannot. The falsifiability of the specification is, I would argue, the most important structural feature distinguishing my model from the apparatus it proposes to replace.</w:t>
      </w:r>
    </w:p>
    <w:p>
      <w:pPr>
        <w:pStyle w:val="BodyText"/>
      </w:pPr>
      <w:r>
        <w:t xml:space="preserve">The four core principles of the MDI model, metabolic stabilization, ontological security, Dunbar communities, and the utility model, are not novel in the research literature. Each has antecedents in the Housing First literature, in trauma-informed care, and in community psychology research on social network density and mental health outcomes. What the MDI framework does differently is assemble these principles into an operational specification with defined input conditions, throughput processes, and output metrics. The question of whether the system is working can be answered by measuring physical facts rather than by consulting the judgment of the people paid to administer it.</w:t>
      </w:r>
    </w:p>
    <w:p>
      <w:pPr>
        <w:pStyle w:val="BodyText"/>
      </w:pPr>
      <w:r>
        <w:t xml:space="preserve">The objection I encounter when presenting this framework is that it underestimates the complexity of the population it proposes to serve. People experiencing homelessness are not uniform units moving through an industrial pipeline. They are individuals with histories and traumas and specific needs that no standardized system can address perfectly. The objection is sincere and partially correct. No system addresses every individual need with perfect precision. The relevant standard of comparison is not perfection. It is measurable improvement over the apparatus that costs California thirty-seven billion dollars across five years while producing one hundred and eighty-seven thousand people still living without stable housing.</w:t>
      </w:r>
    </w:p>
    <w:p>
      <w:pPr>
        <w:pStyle w:val="BodyText"/>
      </w:pPr>
      <w:r>
        <w:t xml:space="preserve">The communities that achieved measurable improvement, Houston and Dallas, did so by redirecting resources from sweep operations toward permanent housing exits, treating outreach relationships as the load-bearing mechanism of housing connection strategy, and measuring outcomes rather than outputs. These requirements are not technically difficult. They are politically difficult, because they require the organizations constituting the intervention apparatus to accept measurement criteria their current operations cannot satisfy. The Homeless Industrial Complex will not reform itself. Reform requires external pressure that makes continuation of the current arrangement more costly than adoption of a different one. That pressure does not come from evidence. The evidence has been in the public record for years. It comes from the political will to treat shelter as a utility, to measure what the money produces rather than what the money funds, and to hold the apparatus accountable to the same standard of falsifiable verification every other public infrastructure system accepts as the precondition for continued operation.</w:t>
      </w:r>
    </w:p>
    <w:p>
      <w:r>
        <w:pict>
          <v:rect style="width:0;height:1.5pt" o:hralign="center" o:hrstd="t" o:hr="t"/>
        </w:pict>
      </w:r>
    </w:p>
    <w:bookmarkStart w:id="26" w:name="citations-and-sources"/>
    <w:p>
      <w:pPr>
        <w:pStyle w:val="Heading1"/>
      </w:pPr>
      <w:r>
        <w:t xml:space="preserve">Citations and Sources</w:t>
      </w:r>
    </w:p>
    <w:bookmarkStart w:id="20" w:name="chapter-one-the-synthetic-commons"/>
    <w:p>
      <w:pPr>
        <w:pStyle w:val="Heading2"/>
      </w:pPr>
      <w:r>
        <w:t xml:space="preserve">Chapter One: The Synthetic Commons</w:t>
      </w:r>
    </w:p>
    <w:p>
      <w:pPr>
        <w:pStyle w:val="FirstParagraph"/>
      </w:pPr>
      <w:r>
        <w:t xml:space="preserve">Viral footage of Los Angeles bridge encampment. Originally documented by</w:t>
      </w:r>
      <w:r>
        <w:t xml:space="preserve"> </w:t>
      </w:r>
      <w:r>
        <w:t xml:space="preserve">@whitewallstuntz</w:t>
      </w:r>
      <w:r>
        <w:t xml:space="preserve">, circulated May 20, 2026. Referenced in Modernity News, May 21, 2026. https://modernity.news/2026/05/21/viral-video-reveals-extent-of-las-homeless-hell/</w:t>
      </w:r>
    </w:p>
    <w:p>
      <w:pPr>
        <w:pStyle w:val="BodyText"/>
      </w:pPr>
      <w:r>
        <w:t xml:space="preserve">California Department of Finance / Legislative Analyst’s Office. California homelessness expenditure, 2019–2024. Total cited: approximately $24 billion with later allocations approaching $37 billion.</w:t>
      </w:r>
    </w:p>
    <w:p>
      <w:pPr>
        <w:pStyle w:val="BodyText"/>
      </w:pPr>
      <w:r>
        <w:t xml:space="preserve">U.S. Department of Housing and Urban Development. The 2023 Annual Homelessness Assessment Report (AHAR) to Congress. 2024. Reported 187,000+ people experiencing homelessness in California; 70,000+ in Los Angeles County.</w:t>
      </w:r>
    </w:p>
    <w:bookmarkEnd w:id="20"/>
    <w:bookmarkStart w:id="21" w:name="chapter-two-the-precondition-of-freedom"/>
    <w:p>
      <w:pPr>
        <w:pStyle w:val="Heading2"/>
      </w:pPr>
      <w:r>
        <w:t xml:space="preserve">Chapter Two: The Precondition of Freedom</w:t>
      </w:r>
    </w:p>
    <w:p>
      <w:pPr>
        <w:pStyle w:val="FirstParagraph"/>
      </w:pPr>
      <w:r>
        <w:t xml:space="preserve">Escobar, Reinaldo. Tinima TV broadcast. December 2025.</w:t>
      </w:r>
      <w:r>
        <w:t xml:space="preserve"> </w:t>
      </w:r>
      <w:r>
        <w:t xml:space="preserve">“</w:t>
      </w:r>
      <w:r>
        <w:t xml:space="preserve">Without material dignity, all freedom is a lie.</w:t>
      </w:r>
      <w:r>
        <w:t xml:space="preserve">”</w:t>
      </w:r>
    </w:p>
    <w:p>
      <w:pPr>
        <w:pStyle w:val="BodyText"/>
      </w:pPr>
      <w:r>
        <w:t xml:space="preserve">Arendt, Hannah. The Human Condition. University of Chicago Press, 1958. (Labor vs. Action distinction.)</w:t>
      </w:r>
    </w:p>
    <w:p>
      <w:pPr>
        <w:pStyle w:val="BodyText"/>
      </w:pPr>
      <w:r>
        <w:t xml:space="preserve">Giddens, Anthony. Modernity and Self-Identity. Stanford University Press, 1991. (Ontological security framework.)</w:t>
      </w:r>
    </w:p>
    <w:bookmarkEnd w:id="21"/>
    <w:bookmarkStart w:id="22" w:name="chapter-three-the-incentive-engine"/>
    <w:p>
      <w:pPr>
        <w:pStyle w:val="Heading2"/>
      </w:pPr>
      <w:r>
        <w:t xml:space="preserve">Chapter Three: The Incentive Engine</w:t>
      </w:r>
    </w:p>
    <w:p>
      <w:pPr>
        <w:pStyle w:val="FirstParagraph"/>
      </w:pPr>
      <w:r>
        <w:t xml:space="preserve">DiBella, Charles J. Ghost in the System. Cycles of Change blog, bikepaths.org. January 6, 2026.</w:t>
      </w:r>
    </w:p>
    <w:p>
      <w:pPr>
        <w:pStyle w:val="BodyText"/>
      </w:pPr>
      <w:r>
        <w:t xml:space="preserve">Perez, Frank. Institutional Capture and Federal Funding in the Homelessness Policy Framework. Various preprints and analyses, 2025. Available via ResearchGate.</w:t>
      </w:r>
    </w:p>
    <w:p>
      <w:pPr>
        <w:pStyle w:val="BodyText"/>
      </w:pPr>
      <w:r>
        <w:t xml:space="preserve">U.S. Department of Housing and Urban Development (HUD) Exchange. Evidence for Housing-Based Encampment Strategies. https://files.hudexchange.info/resources/documents/Evidence-for-Housing-Based-Encampment-Strategies.pdf</w:t>
      </w:r>
    </w:p>
    <w:p>
      <w:pPr>
        <w:pStyle w:val="BodyText"/>
      </w:pPr>
      <w:r>
        <w:t xml:space="preserve">White, M. Coalition for the Homeless of Houston/Harris County. City of Houston/Harris County Homeless Encampment Response Strategy. 2021. (849 residents engaged; 65% housed.)</w:t>
      </w:r>
    </w:p>
    <w:p>
      <w:pPr>
        <w:pStyle w:val="BodyText"/>
      </w:pPr>
      <w:r>
        <w:t xml:space="preserve">Housing Forward. 2024 State of Homelessness in Dallas and Collin Counties. 2024. (24% decrease unsheltered; 19% reduction overall.)</w:t>
      </w:r>
    </w:p>
    <w:bookmarkEnd w:id="22"/>
    <w:bookmarkStart w:id="23" w:name="chapter-four-the-execution-of-harm"/>
    <w:p>
      <w:pPr>
        <w:pStyle w:val="Heading2"/>
      </w:pPr>
      <w:r>
        <w:t xml:space="preserve">Chapter Four: The Execution of Harm</w:t>
      </w:r>
    </w:p>
    <w:p>
      <w:pPr>
        <w:pStyle w:val="FirstParagraph"/>
      </w:pPr>
      <w:r>
        <w:t xml:space="preserve">Barocas, J.A., et al. Population-Level Health Effects of Involuntary Displacement of People Experiencing Unsheltered Homelessness Who Inject Drugs in US Cities. JAMA. 2023;329(17):1478–1486. doi:10.1001/jama.2023.4800.</w:t>
      </w:r>
    </w:p>
    <w:p>
      <w:pPr>
        <w:pStyle w:val="BodyText"/>
      </w:pPr>
      <w:r>
        <w:t xml:space="preserve">Chiang, J.C., et al. Health risk associated with residential relocation among people who inject drugs in Los Angeles and San Francisco, CA. BMC Public Health. 2022;22(823). doi:10.1186/s12889-022-13227-4.</w:t>
      </w:r>
    </w:p>
    <w:p>
      <w:pPr>
        <w:pStyle w:val="BodyText"/>
      </w:pPr>
      <w:r>
        <w:t xml:space="preserve">Westbrook, M., Robinson, T. Unhealthy by design: Health and safety consequences of the criminalization of homelessness. Journal of Social Distress and Homelessness. 2021;30(2):107–15.</w:t>
      </w:r>
    </w:p>
    <w:p>
      <w:pPr>
        <w:pStyle w:val="BodyText"/>
      </w:pPr>
      <w:r>
        <w:t xml:space="preserve">Chang, J.S., et al. Harms of encampment abatements on the health of unhoused people. SSM-Qualitative Research in Health. 2022;2:100064.</w:t>
      </w:r>
    </w:p>
    <w:p>
      <w:pPr>
        <w:pStyle w:val="BodyText"/>
      </w:pPr>
      <w:r>
        <w:t xml:space="preserve">American Public Health Association. Protecting the Health and Well-Being of People Living Unsheltered by Stopping Forcible Displacement of Encampments. APHA Policy Statement. November 14, 2023.</w:t>
      </w:r>
    </w:p>
    <w:p>
      <w:pPr>
        <w:pStyle w:val="BodyText"/>
      </w:pPr>
      <w:r>
        <w:t xml:space="preserve">United States Interagency Council on Homelessness (USICH). 19 Strategies for Communities to Address Encampments Humanely and Effectively. 2024. https://www.usich.gov/guidance-reports-data/federal-guidance-resources/19-strategies-communities-address-encampments</w:t>
      </w:r>
    </w:p>
    <w:p>
      <w:pPr>
        <w:pStyle w:val="BodyText"/>
      </w:pPr>
      <w:r>
        <w:t xml:space="preserve">Community Guide systematic review. Permanent Supportive Housing with Housing First. PubMed. 2020. PMID: 32732712. (26 studies; Housing First decreased homelessness 88%.)</w:t>
      </w:r>
    </w:p>
    <w:bookmarkEnd w:id="23"/>
    <w:bookmarkStart w:id="24" w:name="Xab98f4ab8de63fc6a845b44d2ac70c631bb9612"/>
    <w:p>
      <w:pPr>
        <w:pStyle w:val="Heading2"/>
      </w:pPr>
      <w:r>
        <w:t xml:space="preserve">Chapter Five: The Architecture of Accountability</w:t>
      </w:r>
    </w:p>
    <w:p>
      <w:pPr>
        <w:pStyle w:val="FirstParagraph"/>
      </w:pPr>
      <w:r>
        <w:t xml:space="preserve">Streets Sense Media. Washington D.C. encampment closure data, 2023–2026. (54 closures 2023; 69 in 2024; 109 in 2025; ~17/month early 2026.)</w:t>
      </w:r>
    </w:p>
    <w:p>
      <w:pPr>
        <w:pStyle w:val="BodyText"/>
      </w:pPr>
      <w:r>
        <w:t xml:space="preserve">Washington Post. D.C. Point-in-Time Count 2025: 5,138 individuals, 9% decrease from 2024. 2025.</w:t>
      </w:r>
    </w:p>
    <w:p>
      <w:pPr>
        <w:pStyle w:val="BodyText"/>
      </w:pPr>
      <w:r>
        <w:t xml:space="preserve">Washington Times. D.C. 2026 homeless count: 4%+ increase overall; 16% increase among families. May 2026.</w:t>
      </w:r>
    </w:p>
    <w:p>
      <w:pPr>
        <w:pStyle w:val="BodyText"/>
      </w:pPr>
      <w:r>
        <w:t xml:space="preserve">Executive Order. White House directive to National Park Service: make Washington D.C.</w:t>
      </w:r>
      <w:r>
        <w:t xml:space="preserve"> </w:t>
      </w:r>
      <w:r>
        <w:t xml:space="preserve">“</w:t>
      </w:r>
      <w:r>
        <w:t xml:space="preserve">safe and beautiful.</w:t>
      </w:r>
      <w:r>
        <w:t xml:space="preserve">”</w:t>
      </w:r>
      <w:r>
        <w:t xml:space="preserve"> </w:t>
      </w:r>
      <w:r>
        <w:t xml:space="preserve">March 2025.</w:t>
      </w:r>
    </w:p>
    <w:bookmarkEnd w:id="24"/>
    <w:bookmarkStart w:id="25" w:name="chapter-six-the-utility-mandate"/>
    <w:p>
      <w:pPr>
        <w:pStyle w:val="Heading2"/>
      </w:pPr>
      <w:r>
        <w:t xml:space="preserve">Chapter Six: The Utility Mandate</w:t>
      </w:r>
    </w:p>
    <w:p>
      <w:pPr>
        <w:pStyle w:val="FirstParagraph"/>
      </w:pPr>
      <w:r>
        <w:t xml:space="preserve">DiBella, Charles J. Material Dignity Infrastructure: A Distributed Stewardship Model for Homelessness Resolution. SSRN Abstract ID 5968756. 2025.</w:t>
      </w:r>
    </w:p>
    <w:p>
      <w:pPr>
        <w:pStyle w:val="BodyText"/>
      </w:pPr>
      <w:r>
        <w:t xml:space="preserve">DiBella, Charles J. Material Dignity Infrastructure: Structural Misalignment and the Activation of Surplus Shelter Capacity. SSRN Abstract ID 6211658. February 2026.</w:t>
      </w:r>
    </w:p>
    <w:p>
      <w:pPr>
        <w:pStyle w:val="BodyText"/>
      </w:pPr>
      <w:r>
        <w:t xml:space="preserve">DiBella, Charles J. Material Dignity Infrastructure: Los Angeles Metropolitan Stabilization — A Street-to-Home Pipeline Analysis. SSRN Abstract ID 6579600. May 2026. https://bikepaths.org/blog/topics/audio/podcasts/Working_Paper_Material_Dignity_Infrastructure_(2026).pdf</w:t>
      </w:r>
    </w:p>
    <w:p>
      <w:pPr>
        <w:pStyle w:val="BodyText"/>
      </w:pPr>
      <w:r>
        <w:t xml:space="preserve">Roebuck, et al. A Turning Point? Responses to COVID-19 Within the Homelessness Industrial Complex. 2022.</w:t>
      </w:r>
    </w:p>
    <w:p>
      <w:pPr>
        <w:pStyle w:val="BodyText"/>
      </w:pPr>
      <w:r>
        <w:t xml:space="preserve">Love, [Author]. Permanent Shelter in The Empire City: Youth Experiencing Family Homelessness and Navigating the Homeless Industrial Complex with a Narrative Inquiry Approach. Dissertation, CUNY, 2023.</w:t>
      </w:r>
    </w:p>
    <w:p>
      <w:pPr>
        <w:pStyle w:val="BodyText"/>
      </w:pPr>
      <w:r>
        <w:t xml:space="preserve">Staten, L., Rankin, S. Penny Wise But Pound Foolish: How Permanent Supportive Housing Can Prevent a World of Hurt. Seattle School of Law Homeless Rights Advocacy Project. SSRN. https://papers.ssrn.com/sol3/papers.cfm?abstract_id=3419187</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2026-05-24T03:58:46Z</dcterms:created>
  <dcterms:modified xsi:type="dcterms:W3CDTF">2026-05-24T03:58:46Z</dcterms:modified>
</cp:coreProperties>
</file>

<file path=docProps/custom.xml><?xml version="1.0" encoding="utf-8"?>
<Properties xmlns="http://schemas.openxmlformats.org/officeDocument/2006/custom-properties" xmlns:vt="http://schemas.openxmlformats.org/officeDocument/2006/docPropsVTypes"/>
</file>