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r>
        <w:t xml:space="preserve"> </w:t>
      </w:r>
      <w:r>
        <w:t xml:space="preserve">The Moral Physics of Survival</w:t>
      </w:r>
      <w:r>
        <w:t xml:space="preserve"> </w:t>
      </w:r>
      <w:r>
        <w:t xml:space="preserve">What Street Teaches About Human Nature, Dignity, and Laws We Cannot Break</w:t>
      </w:r>
    </w:p>
    <w:p>
      <w:pPr>
        <w:pStyle w:val="BodyText"/>
      </w:pPr>
      <w:r>
        <w:t xml:space="preserve">Charles J. DiBella</w:t>
      </w:r>
    </w:p>
    <w:p>
      <w:r>
        <w:pict>
          <v:rect style="width:0;height:1.5pt" o:hralign="center" o:hrstd="t" o:hr="t"/>
        </w:pict>
      </w:r>
    </w:p>
    <w:p>
      <w:pPr>
        <w:pStyle w:val="FirstParagraph"/>
      </w:pPr>
      <w:r>
        <w:t xml:space="preserve">This volume establishes philosophical foundations for material dignity infrastructure. Direct observation across thirty years at street level provides physical evidence. Analysis challenges standard political philosophy frameworks assuming intact cognitive agency. Exposure to elements, sleep deprivation, and chronic trauma destroy prefrontal cortex function. Below this biological floor, choice and consent cease to operate.</w:t>
      </w:r>
    </w:p>
    <w:p>
      <w:pPr>
        <w:pStyle w:val="BodyText"/>
      </w:pPr>
      <w:r>
        <w:t xml:space="preserve">Universal dignity rests on human nature rather than performance or functional capacity. Strict hierarchy places most vulnerable individuals at summit of moral obligation. Well-meaning institutions capture state funding and align internal incentives toward self-preservation. Verified destruction of biological agency justifies compelled clinical intervention. Ethical reasoning operates as empirical science mapping causal mechanisms of systemic failure.</w:t>
      </w:r>
      <w:r>
        <w:t xml:space="preserve"> </w:t>
      </w:r>
      <w:r>
        <w:t xml:space="preserve"># Prologue: The Bridge</w:t>
      </w:r>
    </w:p>
    <w:p>
      <w:pPr>
        <w:pStyle w:val="BodyText"/>
      </w:pPr>
      <w:r>
        <w:t xml:space="preserve">Arthur lived beneath the concrete support of the interstate bridge where the highway crosses the river. Traffic overhead vibrated the soil. He built a shelter using discarded shipping pallets and grey plastic tarps. During his first months there, he spoke with the volunteers who brought food. He described working on the docks. His conversations followed a predictable sequence of memories and questions, indicating a past he could reference and a future he expected to navigate.</w:t>
      </w:r>
    </w:p>
    <w:p>
      <w:pPr>
        <w:pStyle w:val="BodyText"/>
      </w:pPr>
      <w:r>
        <w:t xml:space="preserve">Two winters of exposure broke this pattern. Damp cold from the river remained in his blankets, settling deep into his joints. Sleep became impossible under the flickering light poles and the endless roar of the highway. Without sleep, the brain cannot clear metabolic waste; the prefrontal cortex begins to decay. Arthur stopped speaking. He sat on a plastic crate for twelve hours at a time, staring at the concrete pillar. The self had fractured.</w:t>
      </w:r>
    </w:p>
    <w:p>
      <w:pPr>
        <w:pStyle w:val="BodyText"/>
      </w:pPr>
      <w:r>
        <w:t xml:space="preserve">The county outreach team arrived with clipboards to offer shelter placement. Their program required a signed behavior contract and agreement to casework supervision. Arthur did not look up. He did not reject the offer because rejection requires cognitive capacity to weigh alternatives. Silence became a refusal. The team recorded the outcome on their tablets and walked back to the vehicle. The system functioned, but Arthur remained on the dirt.</w:t>
      </w:r>
      <w:r>
        <w:t xml:space="preserve"> </w:t>
      </w:r>
      <w:r>
        <w:t xml:space="preserve"># Chapter 1: The Inventory of Failure</w:t>
      </w:r>
    </w:p>
    <w:p>
      <w:pPr>
        <w:pStyle w:val="BodyText"/>
      </w:pPr>
      <w:r>
        <w:t xml:space="preserve">Over a five-year period, California spent twenty-four billion dollars on homelessness programs. Yet the unsheltered population grew. This outcome contradicts basic economic assumptions regarding resource allocation and service delivery. Standard policy analysis attributes this failure to administrative friction, insufficient housing stock, or coordination gaps among local agencies. While these explanations address superficial symptoms, they ignore the primary cause. The system failed because its working theory of the human person was wrong.</w:t>
      </w:r>
    </w:p>
    <w:p>
      <w:pPr>
        <w:pStyle w:val="BodyText"/>
      </w:pPr>
      <w:r>
        <w:t xml:space="preserve">Perception governs intervention. If a system defines a person as an economic actor lacking real estate, the response remains material. By building housing units and distributing vouchers, the state expects the individual to navigate the transition to an indoor life. This approach assumes the recipient possesses intact agency. Under this logic, the recipient must possess a functional prefrontal cortex capable of managing schedules, resisting addiction, and cooperating with case managers. The reality on the dirt exposes this assumption as a delusion.</w:t>
      </w:r>
    </w:p>
    <w:p>
      <w:pPr>
        <w:pStyle w:val="BodyText"/>
      </w:pPr>
      <w:r>
        <w:t xml:space="preserve">Thirty years of street observation prove one physical fact. Exposure to cold, sleep deprivation, and chronic danger erodes the neurological pathways required for choice. The brain decays. Trapped in a survival loop, the individual responds only to immediate threats and biological cravings. Offering a housing voucher to a person in this condition is equivalent to offering a blueprint to a drowning man. The resource fails.</w:t>
      </w:r>
    </w:p>
    <w:p>
      <w:pPr>
        <w:pStyle w:val="BodyText"/>
      </w:pPr>
      <w:r>
        <w:t xml:space="preserve">The crisis is first a crisis of ideas. Modern Western ethics assumes that human dignity depends on cognitive autonomy. This logic fails Arthur. By grounding worth in performance, the social contract tradition abandons the most vulnerable. Rescuing them requires a new starting point. We must recognize dignity before function.</w:t>
      </w:r>
      <w:r>
        <w:t xml:space="preserve"> </w:t>
      </w:r>
      <w:r>
        <w:t xml:space="preserve"># Chapter 2: The Vocabulary of Invisibility</w:t>
      </w:r>
    </w:p>
    <w:p>
      <w:pPr>
        <w:pStyle w:val="BodyText"/>
      </w:pPr>
      <w:r>
        <w:t xml:space="preserve">Language defines public perception. The word</w:t>
      </w:r>
      <w:r>
        <w:t xml:space="preserve"> </w:t>
      </w:r>
      <w:r>
        <w:t xml:space="preserve">“</w:t>
      </w:r>
      <w:r>
        <w:t xml:space="preserve">homeless</w:t>
      </w:r>
      <w:r>
        <w:t xml:space="preserve">”</w:t>
      </w:r>
      <w:r>
        <w:t xml:space="preserve"> </w:t>
      </w:r>
      <w:r>
        <w:t xml:space="preserve">reduces a person to a material deficit. This vocabulary suggests that lacking physical shelter is the primary barrier to social integration. By focusing attention on real estate, the term conceals identity erosion. The home is lost. This is a visible event, but the destruction of a continuous selfhood remains invisible.</w:t>
      </w:r>
    </w:p>
    <w:p>
      <w:pPr>
        <w:pStyle w:val="BodyText"/>
      </w:pPr>
      <w:r>
        <w:t xml:space="preserve">Philosophy defines personal identity through memory, continuity, and spatial stability. To remain the same individual over time, a person must carry a coherent narrative of the past into the choices of the future. The street dismantles this continuity. By forcing the individual to focus exclusively on immediate survival, constant displacement by city sweep operations destroys the narrative thread. Yesterday becomes a series of scattered threats; tomorrow is an inaccessible concept. Without spatial stability, the self snaps.</w:t>
      </w:r>
    </w:p>
    <w:p>
      <w:pPr>
        <w:pStyle w:val="BodyText"/>
      </w:pPr>
      <w:r>
        <w:t xml:space="preserve">The medical record documents this cognitive fracture. Under chronic exposure to the elements, sleep deprivation degrades the neural connections that support memory and self-reference. The individual no longer experiences the self as a continuous subject moving through time. Instead, consciousness reduces to disconnected moments of pain and biological urgency. Arthur becomes a collection of survival reflexes.</w:t>
      </w:r>
    </w:p>
    <w:p>
      <w:pPr>
        <w:pStyle w:val="BodyText"/>
      </w:pPr>
      <w:r>
        <w:t xml:space="preserve">Addressing this crisis requires a new vocabulary. We must look past the material lack of housing to see the biological and psychological collapse of the individual. If we continue to describe the problem as a real estate shortage, our solutions will continue to fail. A building cannot restore a fractured self.</w:t>
      </w:r>
      <w:r>
        <w:t xml:space="preserve"> </w:t>
      </w:r>
      <w:r>
        <w:t xml:space="preserve"># Chapter 3: The Biological Floor</w:t>
      </w:r>
    </w:p>
    <w:p>
      <w:pPr>
        <w:pStyle w:val="BodyText"/>
      </w:pPr>
      <w:r>
        <w:t xml:space="preserve">Before philosophy, biology. The street acts as a physical engine that dismantles the human organism. Under exposure to extreme cold and humidity, the body triggers a stress response. Adrenal glands flood the system with cortisol. While this hormone prepares the body for immediate threat, its prolonged presence destroys synaptic connections. The physical substrate of decision-making deteriorates under this chemical deluge.</w:t>
      </w:r>
    </w:p>
    <w:p>
      <w:pPr>
        <w:pStyle w:val="BodyText"/>
      </w:pPr>
      <w:r>
        <w:t xml:space="preserve">Neurological studies trace the sequence of this decay. Sleep deprivation serves as the primary accelerant. To clear metabolic waste products from cerebral tissue, the brain requires deep sleep to activate the glymphatic system. Without this cleansing process, toxins accumulate. Governing executive function, planning, and impulse control, the prefrontal cortex suffers cell loss. The capacity for long-term calculation vanishes.</w:t>
      </w:r>
    </w:p>
    <w:p>
      <w:pPr>
        <w:pStyle w:val="BodyText"/>
      </w:pPr>
      <w:r>
        <w:t xml:space="preserve">This physical deterioration establishes a biological floor. Below this threshold, standard legal and moral assumptions regarding autonomy cease to apply. A person experiencing advanced prefrontal decay cannot consent to clinical treatment or navigate complex bureaucracy. This is a material limitation. Treating a person below this floor as a fully functioning autonomous agent is a category error.</w:t>
      </w:r>
    </w:p>
    <w:p>
      <w:pPr>
        <w:pStyle w:val="BodyText"/>
      </w:pPr>
      <w:r>
        <w:t xml:space="preserve">This biological reality produces an urgent ethical dilemma. If a person cannot choose, society must determine who decides on their behalf. The alternative is abandonment. Leaving a cognitively destroyed individual to die on the street under the guise of respecting their liberty is a moral failure.</w:t>
      </w:r>
      <w:r>
        <w:t xml:space="preserve"> </w:t>
      </w:r>
      <w:r>
        <w:t xml:space="preserve"># Chapter 4: What a Person Is</w:t>
      </w:r>
    </w:p>
    <w:p>
      <w:pPr>
        <w:pStyle w:val="BodyText"/>
      </w:pPr>
      <w:r>
        <w:t xml:space="preserve">Philosophical traditions often define personhood through cognitive performance. Under this view, an individual must demonstrate self-awareness, rational calculation, and autonomous choice to claim moral standing. This definition creates a hierarchy of human value. By excluding those who lose their cognitive faculties through disease, trauma, or street exposure, this standard restricts moral concern. We must reject this performance-based definition. A person remains a biological organism with inherent vulnerabilities and potentials.</w:t>
      </w:r>
    </w:p>
    <w:p>
      <w:pPr>
        <w:pStyle w:val="BodyText"/>
      </w:pPr>
      <w:r>
        <w:t xml:space="preserve">This biological view grounds dignity in human nature rather than functional capacity. To define human well-being through what a person can be and do, Amartya Sen and Martha Nussbaum developed the capabilities approach. While their approach emphasizes freedom of choice, the underlying natural law demands protection of the human form itself. Dignity exists in the potential of the organism, not in task execution. Arthur shares this status. He shares it with a child or an elder with dementia.</w:t>
      </w:r>
    </w:p>
    <w:p>
      <w:pPr>
        <w:pStyle w:val="BodyText"/>
      </w:pPr>
      <w:r>
        <w:t xml:space="preserve">Shifting the definition of personhood alters the purpose of public intervention. Under a performance model, society satisfies its obligation by offering choices. If dignity is inherent in the biological form, society must protect the conditions that allow that form to exist. We do not ask a drowning man to choose rescue. We pull him from the water. His survival remains a requirement of his humanity.</w:t>
      </w:r>
    </w:p>
    <w:p>
      <w:pPr>
        <w:pStyle w:val="BodyText"/>
      </w:pPr>
      <w:r>
        <w:t xml:space="preserve">Protecting what a person is requires physical security and metabolic stability. When the environment destroys the neurological basis of choice, society must intervene to restore the biological floor. Respecting liberty does not mean permitting self-destruction. True respect for personhood requires defending the physical vessel of the self.</w:t>
      </w:r>
      <w:r>
        <w:t xml:space="preserve"> </w:t>
      </w:r>
      <w:r>
        <w:t xml:space="preserve"># Chapter 5: The Is-Ought Problem and Why It Matters</w:t>
      </w:r>
    </w:p>
    <w:p>
      <w:pPr>
        <w:pStyle w:val="BodyText"/>
      </w:pPr>
      <w:r>
        <w:t xml:space="preserve">David Hume famously argued that writers slide from descriptive statements to moral assertions without logical justification. From this observation arose the is-ought problem. Under Hume’s view, facts cannot yield obligations. Modern policy debates avoid this philosophical barrier by appealing to legal rights or social contracts. These abstractions bypass the physical reality of human suffering. By separating morality from biology, public systems insulate themselves from moral responsibility.</w:t>
      </w:r>
    </w:p>
    <w:p>
      <w:pPr>
        <w:pStyle w:val="BodyText"/>
      </w:pPr>
      <w:r>
        <w:t xml:space="preserve">This separation is a conceptual error. For a biological organism, the bridge between fact and obligation is survival. The physical vulnerabilities of the human body are not morally neutral data points. When exposure to the elements destroys the brain of an individual, this biological fact carries an immediate requirement for action. To describe what Arthur is does not just state a condition. It defines what we must do.</w:t>
      </w:r>
    </w:p>
    <w:p>
      <w:pPr>
        <w:pStyle w:val="BodyText"/>
      </w:pPr>
      <w:r>
        <w:t xml:space="preserve">Natural law bridges the gap through the concept of human nature. A creature with a particular biological design requires necessary conditions to survive and function. If we observe a plant lacking water, we do not debate its abstract right to moisture. Water is required. Without it, the organism cannot remain what it is. The physical fact of its nature dictates the action. The same logic applies to the human organism.</w:t>
      </w:r>
    </w:p>
    <w:p>
      <w:pPr>
        <w:pStyle w:val="BodyText"/>
      </w:pPr>
      <w:r>
        <w:t xml:space="preserve">Describing physical deterioration establishes a pressing moral demand. When we document prefrontal decay, we document the destruction of a human life. This observation is not a neutral clinical report. It is a witness statement. The facts of biology dictate the obligation of rescue.</w:t>
      </w:r>
      <w:r>
        <w:t xml:space="preserve"> </w:t>
      </w:r>
      <w:r>
        <w:t xml:space="preserve"># Chapter 6: The Social Contract’s Hidden Assumption</w:t>
      </w:r>
    </w:p>
    <w:p>
      <w:pPr>
        <w:pStyle w:val="BodyText"/>
      </w:pPr>
      <w:r>
        <w:t xml:space="preserve">Social contract theory forms the foundation of modern democratic legitimacy. John Locke, Jean-Jacques Rousseau, and John Rawls argue that political authority arises from a voluntary agreement among rational actors. Under this model, every participant must possess capacity to evaluate options and negotiate terms. The state derives its power from consent. This assumption remains hidden because theorists write for functional societies.</w:t>
      </w:r>
    </w:p>
    <w:p>
      <w:pPr>
        <w:pStyle w:val="BodyText"/>
      </w:pPr>
      <w:r>
        <w:t xml:space="preserve">The street exposes the limit of this contract. A person experiencing advanced prefrontal decay cannot participate in a voluntary agreement. Arthur cannot negotiate. Unable to understand behavior contracts, he cannot offer consent. Under standard contract theory, he exists outside the political community, leaving the state without authority or obligation. The contract model abandons him.</w:t>
      </w:r>
    </w:p>
    <w:p>
      <w:pPr>
        <w:pStyle w:val="BodyText"/>
      </w:pPr>
      <w:r>
        <w:t xml:space="preserve">This exclusion reveals a logical failure in liberal political philosophy. If state legitimacy depends on consent, then the state cannot govern those who cannot consent. Public agencies must ignore the deteriorating individual or act without contract authority. Most choose abandonment. To justify this choice, they ignore the physical reality. The social contract becomes a mechanism of exclusion.</w:t>
      </w:r>
    </w:p>
    <w:p>
      <w:pPr>
        <w:pStyle w:val="BodyText"/>
      </w:pPr>
      <w:r>
        <w:t xml:space="preserve">Political obligation must rest on a different foundation. We cannot base our duties on a fictional negotiation. Instead, authority and duty must arise from the biological reality of human vulnerability. To protect Arthur, we do not require his permission. Dignity commands rescue.</w:t>
      </w:r>
      <w:r>
        <w:t xml:space="preserve"> </w:t>
      </w:r>
      <w:r>
        <w:t xml:space="preserve"># Chapter 7: Natural Law Without God</w:t>
      </w:r>
    </w:p>
    <w:p>
      <w:pPr>
        <w:pStyle w:val="BodyText"/>
      </w:pPr>
      <w:r>
        <w:t xml:space="preserve">Historical natural law theories rely on theological foundations. To Aquinas, moral laws reflect divine reason embedded in the cosmos. This framing fails in a secular society. By grounding obligation in biological reality, we can construct an alternative. Cicero and Hugo Grotius suggested that human nature itself provides the source.</w:t>
      </w:r>
    </w:p>
    <w:p>
      <w:pPr>
        <w:pStyle w:val="BodyText"/>
      </w:pPr>
      <w:r>
        <w:t xml:space="preserve">Human biology dictates moral requirements. To prevent decay and support functioning, a physical organism must meet basic needs. These needs are not arbitrary preferences. Instead, they function as biological imperatives. When we observe a human body deteriorating under street conditions, we observe a violation of natural law. The obligation to protect that body arises from its design, not from a divine command.</w:t>
      </w:r>
    </w:p>
    <w:p>
      <w:pPr>
        <w:pStyle w:val="BodyText"/>
      </w:pPr>
      <w:r>
        <w:t xml:space="preserve">Flourishing requires metabolic and cognitive stability. If a system fails to protect the biological substrate of choice, it fails to protect the human form. To satisfy natural law, we must defend the physical conditions required for human development. This duty is secular because it rests on observable facts. Without religious faith, we can recognize that exposure to cold destroys the brain.</w:t>
      </w:r>
    </w:p>
    <w:p>
      <w:pPr>
        <w:pStyle w:val="BodyText"/>
      </w:pPr>
      <w:r>
        <w:t xml:space="preserve">This secular natural law provides a foundation for public action. By grounding obligation in biology, we establish a universal standard of care. This standard does not depend on religious belief or social consent. It depends on the observable requirements of human life.</w:t>
      </w:r>
      <w:r>
        <w:t xml:space="preserve"> </w:t>
      </w:r>
      <w:r>
        <w:t xml:space="preserve"># Chapter 8: The Hierarchy of Obligation</w:t>
      </w:r>
    </w:p>
    <w:p>
      <w:pPr>
        <w:pStyle w:val="BodyText"/>
      </w:pPr>
      <w:r>
        <w:t xml:space="preserve">Moral obligations under natural law require a logical hierarchy. When multiple human needs demand attention, society must prioritize the most primary requirements of survival. Without protecting the biological foundation, higher-level social needs remain unreachable. Public policy often fails by attempting to solve complex social integration problems before protecting physical health. This ordering error wastes resources. It permits human destruction.</w:t>
      </w:r>
    </w:p>
    <w:p>
      <w:pPr>
        <w:pStyle w:val="BodyText"/>
      </w:pPr>
      <w:r>
        <w:t xml:space="preserve">Metabolic stabilization must occupy the primary position in this hierarchy. Within any legitimate intervention, this stage constitutes Phase Zero. To discuss voting rights, employment training, or housing choice with an individual undergoing brain deterioration is a logical error. The immediate obligation is physical. Before restoring the person, we must stabilize the organism.</w:t>
      </w:r>
    </w:p>
    <w:p>
      <w:pPr>
        <w:pStyle w:val="BodyText"/>
      </w:pPr>
      <w:r>
        <w:t xml:space="preserve">Standard social programs invert this hierarchy. By demanding behavior contracts and casework cooperation from individuals in cognitive crisis, agencies require performance before survival. This demand is a logical contradiction. The capacity to cooperate depends on metabolic stability. Until we establish the biological floor, higher-level expectations remain meaningless.</w:t>
      </w:r>
    </w:p>
    <w:p>
      <w:pPr>
        <w:pStyle w:val="BodyText"/>
      </w:pPr>
      <w:r>
        <w:t xml:space="preserve">This ordered hierarchy redefines the starting point of public intervention. At Phase Zero, the state must provide immediate shelter, nutrition, and medical stabilization. We must treat these interventions as pre-political duties. Once we establish the biological floor, the individual can begin the journey of cognitive recovery and social participation.</w:t>
      </w:r>
      <w:r>
        <w:t xml:space="preserve"> </w:t>
      </w:r>
      <w:r>
        <w:t xml:space="preserve"># Chapter 9: Institutional Capture and Moral Responsibility</w:t>
      </w:r>
    </w:p>
    <w:p>
      <w:pPr>
        <w:pStyle w:val="BodyText"/>
      </w:pPr>
      <w:r>
        <w:t xml:space="preserve">Public systems fail because of institutional capture. When an industry grows around a social crisis, its survival becomes tied to the persistence of that crisis. The industry distributes billions of dollars. These entities develop a financial interest in maintaining the status quo. By prioritizing organization growth, they focus on process rather than outcomes.</w:t>
      </w:r>
    </w:p>
    <w:p>
      <w:pPr>
        <w:pStyle w:val="BodyText"/>
      </w:pPr>
      <w:r>
        <w:t xml:space="preserve">Case managers and advocates are trapped in this system. Rather than rehabilitation, public contracts reward agencies for the number of individuals served. Under this incentive structure, housing vouchers and shelter beds become commodities. Workers process paperwork. They track client compliance. While the streets remain full, the system measures success by administrative activity.</w:t>
      </w:r>
    </w:p>
    <w:p>
      <w:pPr>
        <w:pStyle w:val="BodyText"/>
      </w:pPr>
      <w:r>
        <w:t xml:space="preserve">This incentive structure destroys moral responsibility. Individual workers enter the field desiring rescue, but the bureaucracy neutralizes their agency. By reducing moral obligations to compliance checklists, the institution absolves its employees of personal accountability. The system functions as a shield. When Arthur dies, no individual is blamed. To escape blame, the agency points to documented efforts. The administrator points to the budget limit.</w:t>
      </w:r>
    </w:p>
    <w:p>
      <w:pPr>
        <w:pStyle w:val="BodyText"/>
      </w:pPr>
      <w:r>
        <w:t xml:space="preserve">Overcoming this capture requires changing the basis of evaluation. We must judge institutions by outcomes. If a service provider cannot stabilize its target population, funding must end. Restoring accountability requires dismantling the protective layer of administrative process.</w:t>
      </w:r>
      <w:r>
        <w:t xml:space="preserve"> </w:t>
      </w:r>
      <w:r>
        <w:t xml:space="preserve"># Chapter 10: The Legitimacy of Compelled Care</w:t>
      </w:r>
    </w:p>
    <w:p>
      <w:pPr>
        <w:pStyle w:val="BodyText"/>
      </w:pPr>
      <w:r>
        <w:t xml:space="preserve">Opponents of civil commitment argue that compelling care violates liberty. This position assumes a disembodied right. Under this view, the state must respect choices that lead to death. To base public policy on this assumption is to rely on fiction. Liberty requires a functioning brain. If exposure and addiction destroy the physical vessel of agency, freedom vanishes.</w:t>
      </w:r>
    </w:p>
    <w:p>
      <w:pPr>
        <w:pStyle w:val="BodyText"/>
      </w:pPr>
      <w:r>
        <w:t xml:space="preserve">Compelled care does not violate liberty for those below the biological floor. Restoring freedom requires intervention. When a person suffers advanced prefrontal decay, they cannot make choices. Unable to plan, they respond only to cravings. Leaving a person in this condition on the street does not show respect. It is abandonment. The state has a moral duty to intervene.</w:t>
      </w:r>
    </w:p>
    <w:p>
      <w:pPr>
        <w:pStyle w:val="BodyText"/>
      </w:pPr>
      <w:r>
        <w:t xml:space="preserve">Conservatorships and civil commitment provide necessary tools for rescue. By removing a person from a destructive environment and establishing metabolic stability, we protect the physical vessel of the self. This intervention does not restrict autonomy because autonomy does not exist in a decayed brain. To restore the biological substrate of choice, we compel treatment. The goal is future liberty.</w:t>
      </w:r>
    </w:p>
    <w:p>
      <w:pPr>
        <w:pStyle w:val="BodyText"/>
      </w:pPr>
      <w:r>
        <w:t xml:space="preserve">This justification establishes limits on state authority. Compulsory care is legitimate only when an individual falls below the biological floor. Stabilization changes the dynamic. Once we establish the biological floor, authority must transition back to voluntary cooperation. Rather than desiring control, we intervene to defend what a person is.</w:t>
      </w:r>
      <w:r>
        <w:t xml:space="preserve"> </w:t>
      </w:r>
      <w:r>
        <w:t xml:space="preserve"># Chapter 11: John Snow and the Moral Physicist</w:t>
      </w:r>
    </w:p>
    <w:p>
      <w:pPr>
        <w:pStyle w:val="BodyText"/>
      </w:pPr>
      <w:r>
        <w:t xml:space="preserve">In London during the cholera outbreak of 1854, Dr. John Snow observed a pattern of death centered around the Broad Street public water pump. The prevailing medical theories attributed the disease to bad air or moral failing. Rather than debating these abstract concepts, Snow collected data on water sources and infection locations. His map demonstrated a correlation. This correlation linked water consumption to cholera. To stop the outbreak, he removed the pump handle.</w:t>
      </w:r>
    </w:p>
    <w:p>
      <w:pPr>
        <w:pStyle w:val="BodyText"/>
      </w:pPr>
      <w:r>
        <w:t xml:space="preserve">This historical event illustrates the method of the moral physicist. Instead of writing a policy paper or lobbying for legislative reform, Snow acted without waiting for consensus. He identified a physical vector of destruction and disabled it. The action was physical, unauthorized, and effective. By focusing on physical mechanics rather than administrative approval, he saved lives.</w:t>
      </w:r>
    </w:p>
    <w:p>
      <w:pPr>
        <w:pStyle w:val="BodyText"/>
      </w:pPr>
      <w:r>
        <w:t xml:space="preserve">The modern street crisis requires this physical realism. When an individual lies freezing in the gutter, the threat is thermodynamic, not political. Warmth, shelter, and medical stabilization provide the only solution. By treating metabolic collapse as a debate over civil liberties, we waste time. The moral physicist removes the handle.</w:t>
      </w:r>
    </w:p>
    <w:p>
      <w:pPr>
        <w:pStyle w:val="BodyText"/>
      </w:pPr>
      <w:r>
        <w:t xml:space="preserve">Public authority must adapt to this empirical standard. To prevent human decay, action must target physical causes. If a system fails to protect the biological substrate, individuals must act to preserve the vulnerable. The duty to rescue exists prior to any administrative rule.</w:t>
      </w:r>
      <w:r>
        <w:t xml:space="preserve"> </w:t>
      </w:r>
      <w:r>
        <w:t xml:space="preserve"># Chapter 12: The Remnant and the Obligation</w:t>
      </w:r>
    </w:p>
    <w:p>
      <w:pPr>
        <w:pStyle w:val="BodyText"/>
      </w:pPr>
      <w:r>
        <w:t xml:space="preserve">Public indifference characterizes the response to street deterioration. To protect themselves from psychological distress, most citizens learn to look away from the freezing body. This habit of avoidance permits the crisis to deepen. Despite the public consensus, a small group of observers refuses to turn away. This group constitutes the remnant. Facing the physical reality of the street, they recognize the human cost of administrative failure.</w:t>
      </w:r>
    </w:p>
    <w:p>
      <w:pPr>
        <w:pStyle w:val="BodyText"/>
      </w:pPr>
      <w:r>
        <w:t xml:space="preserve">The remnant carries a distinct moral obligation. On those who do not see, duty does not fall equally. The act of witnessing creates the responsibility to act. When a clinician, policy maker, or citizen observes the biological collapse of an individual, they cannot claim ignorance. The physical facts of suffering indict inaction. To witness is to inherit the obligation of rescue.</w:t>
      </w:r>
    </w:p>
    <w:p>
      <w:pPr>
        <w:pStyle w:val="BodyText"/>
      </w:pPr>
      <w:r>
        <w:t xml:space="preserve">This duty is personal and non-delegable. We cannot transfer our responsibility to public systems or advocacy organizations. If the institution is captured, the individual must act. To resolve the crisis, the witness must advocate for metabolic stabilization, challenge bureaucratic paralysis, and demand physical intervention. True moral agency resides in the person who refuses to look away.</w:t>
      </w:r>
    </w:p>
    <w:p>
      <w:pPr>
        <w:pStyle w:val="BodyText"/>
      </w:pPr>
      <w:r>
        <w:t xml:space="preserve">Dignity requires this immediate commitment. Instead of waiting for systemic reform, the remnant acts on immediate physical reality. By standing as witnesses, they preserve the humanity of the vulnerable. They defend the integrity of the community.</w:t>
      </w:r>
      <w:r>
        <w:t xml:space="preserve"> </w:t>
      </w:r>
      <w:r>
        <w:t xml:space="preserve"># Chapter 13: A Different Starting Point</w:t>
      </w:r>
    </w:p>
    <w:p>
      <w:pPr>
        <w:pStyle w:val="BodyText"/>
      </w:pPr>
      <w:r>
        <w:t xml:space="preserve">Starting with the physical reality of the human body alters our moral and policy calculations. When we recognize that street exposure destroys the neurological pathways of choice, we can no longer define dignity through cognitive performance. The social contract model fails the most vulnerable. By grounding policy in biology rather than abstract choice, we establish a new foundation for public duty.</w:t>
      </w:r>
    </w:p>
    <w:p>
      <w:pPr>
        <w:pStyle w:val="BodyText"/>
      </w:pPr>
      <w:r>
        <w:t xml:space="preserve">This biological starting point redefines human rights. To standard political theories, liberty means the right to be left alone, even when that liberty leads to self-destruction. Abandonment is excused by this definition. Without metabolic stability and cognitive capacity, liberty cannot exist. Under a natural law model, the right to rescue is the primary right because it protects the physical vessel of the self.</w:t>
      </w:r>
    </w:p>
    <w:p>
      <w:pPr>
        <w:pStyle w:val="BodyText"/>
      </w:pPr>
      <w:r>
        <w:t xml:space="preserve">Intervention must follow the hierarchy of obligation. Before expecting social integration, we must establish the biological floor through metabolic stabilization. Phase Zero requirements of shelter, nutrition, and medical stabilization are pre-political duties. Recovery begins. Once we establish this floor, the individual can rebuild cognitive capacity. This ordered sequence replaces the current system.</w:t>
      </w:r>
    </w:p>
    <w:p>
      <w:pPr>
        <w:pStyle w:val="BodyText"/>
      </w:pPr>
      <w:r>
        <w:t xml:space="preserve">The remnant must lead this shift in perspective. By facing the physical facts and refusing to look away, witnesses establish accountability. We do not require new bureaucracy or legislative consensus to recognize suffering. We require courage. Action must target physical reality. To preserve the community, we must protect what a person is.</w:t>
      </w:r>
      <w:r>
        <w:t xml:space="preserve"> </w:t>
      </w:r>
      <w:r>
        <w:t xml:space="preserve"># Epilogue: The Pump Handle</w:t>
      </w:r>
    </w:p>
    <w:p>
      <w:pPr>
        <w:pStyle w:val="BodyText"/>
      </w:pPr>
      <w:r>
        <w:t xml:space="preserve">Dr. John Snow did not redesign the municipal water infrastructure of London. He did not build sewers. To purify the Thames or reform the Board of Health, decades were required. These systemic solutions were slow. Faced with an immediate cholera outbreak, Snow took a single physical action. He removed the pump handle at Broad Street. By disabling the physical vector of transmission, he stopped the spread of death.</w:t>
      </w:r>
    </w:p>
    <w:p>
      <w:pPr>
        <w:pStyle w:val="BodyText"/>
      </w:pPr>
      <w:r>
        <w:t xml:space="preserve">We cannot wait for systemic solutions to street deterioration. Rebuilding the mental health system, constructing housing units, and reforming public agencies require years of legislative work. While we debate these long-term plans, individuals die in the gutter. The thermodynamic threat continues to kill. Today, the street destroys the brain of the vulnerable.</w:t>
      </w:r>
    </w:p>
    <w:p>
      <w:pPr>
        <w:pStyle w:val="BodyText"/>
      </w:pPr>
      <w:r>
        <w:t xml:space="preserve">We must remove the pump handles in our own cities. At Phase Zero, interventions require immediate physical action. We must establish the biological floor before rebuilding the social contract. Rescue is a pressing duty. To pull a drowning man from the water, we do not require systemic reform. We require the courage to remove the handle.</w:t>
      </w:r>
    </w:p>
    <w:p>
      <w:pPr>
        <w:pStyle w:val="BodyText"/>
      </w:pPr>
      <w:r>
        <w:t xml:space="preserve">This courage is not abstract. It manifests when a clinician overrides a discharge protocol to keep a patient stabilized. It appears when a worker bypasses a housing waitlist to place a freezing individual in immediate shelter. Violating administrative rules invites professional hazard. Yet, the physical reality of the street makes compliance a moral failure. To save a person, we must accept the risk of the action.</w:t>
      </w:r>
    </w:p>
    <w:p>
      <w:pPr>
        <w:pStyle w:val="BodyText"/>
      </w:pPr>
      <w:r>
        <w:t xml:space="preserve">The pump handle is the rule that rationalizes abandonment. By refusing to comply with procedural delays, we force a choice between human survival and administrative order. We must choose survival.</w:t>
      </w:r>
    </w:p>
    <w:p>
      <w:pPr>
        <w:pStyle w:val="BodyText"/>
      </w:pPr>
      <w:r>
        <w:t xml:space="preserve">To those who believe that reform requires years of legislative effort, consider the evidence. While we debate structural change, Arthur freezes tonight. To honor the dignity of the person, we must act now. The physical floor is a moral necessity.</w:t>
      </w:r>
    </w:p>
    <w:p>
      <w:pPr>
        <w:pStyle w:val="BodyText"/>
      </w:pPr>
      <w:r>
        <w:t xml:space="preserve">Physical floor is moral necessity because biological survival is precondition for personhood. Without physical substrate, human rights are empty concepts. Brain decay destroys cognitive capacity. Individual cannot exercise agency or choice without functioning brain. Defending physical body is first duty. Other moral claims depend on survival.</w:t>
      </w:r>
    </w:p>
    <w:p>
      <w:pPr>
        <w:pStyle w:val="BodyText"/>
      </w:pPr>
      <w:r>
        <w:t xml:space="preserve">This is not compassionate conservatism. It is physics. To rescue the person, we must first stabilize the organism. To rebuild the social contract, we must protect the biological foundation. This approach recognizes that dignity precedes choice. It acknowledges that moral obligation arises from vulnerability, not from consent.</w:t>
      </w:r>
    </w:p>
    <w:p>
      <w:pPr>
        <w:pStyle w:val="BodyText"/>
      </w:pPr>
      <w:r>
        <w:t xml:space="preserve">Pump handle metaphor works because it is visceral and immediate. It represents unmediated physical intervention. Removing pump handle stops cholera. Getting person inside stops brain decay. Both actions are immediate and effective. Both bypass bureaucracy and debate. Both prioritize life over procedure.</w:t>
      </w:r>
    </w:p>
    <w:p>
      <w:pPr>
        <w:pStyle w:val="BodyText"/>
      </w:pPr>
      <w:r>
        <w:t xml:space="preserve">This approach aligns with natural law but without theological assumptions. Survival is biological imperative, not divine command. Dignity arises from human form, not from cognitive performance. Moral obligation stems from vulnerability, not from consent. This thesis applies to all humans regardless of belief. It provides secular foundation for intervention.</w:t>
      </w:r>
    </w:p>
    <w:bookmarkStart w:id="20" w:name="prologue-the-bridge"/>
    <w:p>
      <w:pPr>
        <w:pStyle w:val="Heading2"/>
      </w:pPr>
      <w:r>
        <w:t xml:space="preserve">Prologue: The Bridge</w:t>
      </w:r>
    </w:p>
    <w:p>
      <w:pPr>
        <w:pStyle w:val="FirstParagraph"/>
      </w:pPr>
      <w:r>
        <w:t xml:space="preserve">DiBella, Charles J.</w:t>
      </w:r>
      <w:r>
        <w:t xml:space="preserve"> </w:t>
      </w:r>
      <w:r>
        <w:rPr>
          <w:iCs/>
          <w:i/>
        </w:rPr>
        <w:t xml:space="preserve">The Moral Physics of Survival: Field Notes on the Unconditional Duty</w:t>
      </w:r>
      <w:r>
        <w:t xml:space="preserve">. Preprint, 2026.</w:t>
      </w:r>
    </w:p>
    <w:bookmarkEnd w:id="20"/>
    <w:bookmarkStart w:id="21" w:name="chapter-one-the-inventory-of-failure"/>
    <w:p>
      <w:pPr>
        <w:pStyle w:val="Heading2"/>
      </w:pPr>
      <w:r>
        <w:t xml:space="preserve">Chapter One: The Inventory of Failure</w:t>
      </w:r>
    </w:p>
    <w:p>
      <w:pPr>
        <w:pStyle w:val="FirstParagraph"/>
      </w:pPr>
      <w:r>
        <w:t xml:space="preserve">California Legislative Analyst’s Office.</w:t>
      </w:r>
      <w:r>
        <w:t xml:space="preserve"> </w:t>
      </w:r>
      <w:r>
        <w:rPr>
          <w:iCs/>
          <w:i/>
        </w:rPr>
        <w:t xml:space="preserve">State Spending on Homelessness Programs: 2018–2024</w:t>
      </w:r>
      <w:r>
        <w:t xml:space="preserve">. Sacramento: LAO, 2024.</w:t>
      </w:r>
    </w:p>
    <w:p>
      <w:pPr>
        <w:pStyle w:val="BodyText"/>
      </w:pPr>
      <w:r>
        <w:t xml:space="preserve">United States Department of Housing and Urban Development.</w:t>
      </w:r>
      <w:r>
        <w:t xml:space="preserve"> </w:t>
      </w:r>
      <w:r>
        <w:rPr>
          <w:iCs/>
          <w:i/>
        </w:rPr>
        <w:t xml:space="preserve">The Annual Homelessness Assessment Report (AHAR) to Congress</w:t>
      </w:r>
      <w:r>
        <w:t xml:space="preserve">. Washington, D.C.: HUD, 2025.</w:t>
      </w:r>
    </w:p>
    <w:bookmarkEnd w:id="21"/>
    <w:bookmarkStart w:id="22" w:name="X0d26260c0d65b69d296f65b9e9e9b8f67e0704d"/>
    <w:p>
      <w:pPr>
        <w:pStyle w:val="Heading2"/>
      </w:pPr>
      <w:r>
        <w:t xml:space="preserve">Chapter Two: The Vocabulary of Invisibility</w:t>
      </w:r>
    </w:p>
    <w:p>
      <w:pPr>
        <w:pStyle w:val="FirstParagraph"/>
      </w:pPr>
      <w:r>
        <w:t xml:space="preserve">Giddens, Anthony.</w:t>
      </w:r>
      <w:r>
        <w:t xml:space="preserve"> </w:t>
      </w:r>
      <w:r>
        <w:rPr>
          <w:iCs/>
          <w:i/>
        </w:rPr>
        <w:t xml:space="preserve">Modernity and Self-Identity: Self and Society in the Late Modern Age</w:t>
      </w:r>
      <w:r>
        <w:t xml:space="preserve">. Stanford: Stanford University Press, 1991.</w:t>
      </w:r>
    </w:p>
    <w:p>
      <w:pPr>
        <w:pStyle w:val="BodyText"/>
      </w:pPr>
      <w:r>
        <w:t xml:space="preserve">Parfit, Derek.</w:t>
      </w:r>
      <w:r>
        <w:t xml:space="preserve"> </w:t>
      </w:r>
      <w:r>
        <w:rPr>
          <w:iCs/>
          <w:i/>
        </w:rPr>
        <w:t xml:space="preserve">Reasons and Persons</w:t>
      </w:r>
      <w:r>
        <w:t xml:space="preserve">. Oxford: Clarendon Press, 1984.</w:t>
      </w:r>
    </w:p>
    <w:bookmarkEnd w:id="22"/>
    <w:bookmarkStart w:id="23" w:name="chapter-three-the-biological-floor"/>
    <w:p>
      <w:pPr>
        <w:pStyle w:val="Heading2"/>
      </w:pPr>
      <w:r>
        <w:t xml:space="preserve">Chapter Three: The Biological Floor</w:t>
      </w:r>
    </w:p>
    <w:p>
      <w:pPr>
        <w:pStyle w:val="FirstParagraph"/>
      </w:pPr>
      <w:r>
        <w:t xml:space="preserve">Sapolsky, Robert M.</w:t>
      </w:r>
      <w:r>
        <w:t xml:space="preserve"> </w:t>
      </w:r>
      <w:r>
        <w:rPr>
          <w:iCs/>
          <w:i/>
        </w:rPr>
        <w:t xml:space="preserve">Behave: The Biology of Humans at Our Best and Worst</w:t>
      </w:r>
      <w:r>
        <w:t xml:space="preserve">. New York: Penguin Press, 2017.</w:t>
      </w:r>
    </w:p>
    <w:p>
      <w:pPr>
        <w:pStyle w:val="BodyText"/>
      </w:pPr>
      <w:r>
        <w:t xml:space="preserve">McEwen, Bruce S.</w:t>
      </w:r>
      <w:r>
        <w:t xml:space="preserve"> </w:t>
      </w:r>
      <w:r>
        <w:t xml:space="preserve">“</w:t>
      </w:r>
      <w:r>
        <w:t xml:space="preserve">Neurobiology of Stress and Allostatic Load.</w:t>
      </w:r>
      <w:r>
        <w:t xml:space="preserve">”</w:t>
      </w:r>
      <w:r>
        <w:t xml:space="preserve"> </w:t>
      </w:r>
      <w:r>
        <w:rPr>
          <w:iCs/>
          <w:i/>
        </w:rPr>
        <w:t xml:space="preserve">Annals of the New York Academy of Sciences</w:t>
      </w:r>
      <w:r>
        <w:t xml:space="preserve"> </w:t>
      </w:r>
      <w:r>
        <w:t xml:space="preserve">1018, no. 1 (2004): 1–9.</w:t>
      </w:r>
    </w:p>
    <w:bookmarkEnd w:id="23"/>
    <w:bookmarkStart w:id="24" w:name="chapter-four-what-a-person-is"/>
    <w:p>
      <w:pPr>
        <w:pStyle w:val="Heading2"/>
      </w:pPr>
      <w:r>
        <w:t xml:space="preserve">Chapter Four: What a Person Is</w:t>
      </w:r>
    </w:p>
    <w:p>
      <w:pPr>
        <w:pStyle w:val="FirstParagraph"/>
      </w:pPr>
      <w:r>
        <w:t xml:space="preserve">Cicero, Marcus Tullius.</w:t>
      </w:r>
      <w:r>
        <w:t xml:space="preserve"> </w:t>
      </w:r>
      <w:r>
        <w:rPr>
          <w:iCs/>
          <w:i/>
        </w:rPr>
        <w:t xml:space="preserve">De Re Publica</w:t>
      </w:r>
      <w:r>
        <w:t xml:space="preserve"> </w:t>
      </w:r>
      <w:r>
        <w:t xml:space="preserve">and</w:t>
      </w:r>
      <w:r>
        <w:t xml:space="preserve"> </w:t>
      </w:r>
      <w:r>
        <w:rPr>
          <w:iCs/>
          <w:i/>
        </w:rPr>
        <w:t xml:space="preserve">De Legibus</w:t>
      </w:r>
      <w:r>
        <w:t xml:space="preserve">. Translated by Clinton W. Keyes. Loeb Classical Library. Cambridge: Harvard University Press, 1928.</w:t>
      </w:r>
    </w:p>
    <w:p>
      <w:pPr>
        <w:pStyle w:val="BodyText"/>
      </w:pPr>
      <w:r>
        <w:t xml:space="preserve">Foot, Philippa.</w:t>
      </w:r>
      <w:r>
        <w:t xml:space="preserve"> </w:t>
      </w:r>
      <w:r>
        <w:rPr>
          <w:iCs/>
          <w:i/>
        </w:rPr>
        <w:t xml:space="preserve">Natural Goodness</w:t>
      </w:r>
      <w:r>
        <w:t xml:space="preserve">. Oxford: Clarendon Press, 2001.</w:t>
      </w:r>
    </w:p>
    <w:bookmarkEnd w:id="24"/>
    <w:bookmarkStart w:id="25" w:name="X225148730e975d90df55cdc52598c905d324137"/>
    <w:p>
      <w:pPr>
        <w:pStyle w:val="Heading2"/>
      </w:pPr>
      <w:r>
        <w:t xml:space="preserve">Chapter Five: The Is-Ought Problem and Why It Matters</w:t>
      </w:r>
    </w:p>
    <w:p>
      <w:pPr>
        <w:pStyle w:val="FirstParagraph"/>
      </w:pPr>
      <w:r>
        <w:t xml:space="preserve">Hume, David.</w:t>
      </w:r>
      <w:r>
        <w:t xml:space="preserve"> </w:t>
      </w:r>
      <w:r>
        <w:rPr>
          <w:iCs/>
          <w:i/>
        </w:rPr>
        <w:t xml:space="preserve">A Treatise of Human Nature</w:t>
      </w:r>
      <w:r>
        <w:t xml:space="preserve">. Edited by L.A. Selby-Bigge. Oxford: Clarendon Press, 1978 (originally published 1739).</w:t>
      </w:r>
    </w:p>
    <w:p>
      <w:pPr>
        <w:pStyle w:val="BodyText"/>
      </w:pPr>
      <w:r>
        <w:t xml:space="preserve">Searle, John R.</w:t>
      </w:r>
      <w:r>
        <w:t xml:space="preserve"> </w:t>
      </w:r>
      <w:r>
        <w:t xml:space="preserve">“</w:t>
      </w:r>
      <w:r>
        <w:t xml:space="preserve">How to Derive</w:t>
      </w:r>
      <w:r>
        <w:t xml:space="preserve"> </w:t>
      </w:r>
      <w:r>
        <w:t xml:space="preserve">‘</w:t>
      </w:r>
      <w:r>
        <w:t xml:space="preserve">Ought</w:t>
      </w:r>
      <w:r>
        <w:t xml:space="preserve">’</w:t>
      </w:r>
      <w:r>
        <w:t xml:space="preserve"> </w:t>
      </w:r>
      <w:r>
        <w:t xml:space="preserve">from</w:t>
      </w:r>
      <w:r>
        <w:t xml:space="preserve"> </w:t>
      </w:r>
      <w:r>
        <w:t xml:space="preserve">‘</w:t>
      </w:r>
      <w:r>
        <w:t xml:space="preserve">Is</w:t>
      </w:r>
      <w:r>
        <w:t xml:space="preserve">’</w:t>
      </w:r>
      <w:r>
        <w:t xml:space="preserve">.</w:t>
      </w:r>
      <w:r>
        <w:t xml:space="preserve">”</w:t>
      </w:r>
      <w:r>
        <w:t xml:space="preserve"> </w:t>
      </w:r>
      <w:r>
        <w:rPr>
          <w:iCs/>
          <w:i/>
        </w:rPr>
        <w:t xml:space="preserve">The Philosophical Review</w:t>
      </w:r>
      <w:r>
        <w:t xml:space="preserve"> </w:t>
      </w:r>
      <w:r>
        <w:t xml:space="preserve">73, no. 1 (1964): 43–58.</w:t>
      </w:r>
    </w:p>
    <w:bookmarkEnd w:id="25"/>
    <w:bookmarkStart w:id="26" w:name="Xabfcfde87aa4082a454f52f6380ad2b3edd803e"/>
    <w:p>
      <w:pPr>
        <w:pStyle w:val="Heading2"/>
      </w:pPr>
      <w:r>
        <w:t xml:space="preserve">Chapter Six: The Social Contract’s Hidden Assumption</w:t>
      </w:r>
    </w:p>
    <w:p>
      <w:pPr>
        <w:pStyle w:val="FirstParagraph"/>
      </w:pPr>
      <w:r>
        <w:t xml:space="preserve">Rawls, John.</w:t>
      </w:r>
      <w:r>
        <w:t xml:space="preserve"> </w:t>
      </w:r>
      <w:r>
        <w:rPr>
          <w:iCs/>
          <w:i/>
        </w:rPr>
        <w:t xml:space="preserve">A Theory of Justice</w:t>
      </w:r>
      <w:r>
        <w:t xml:space="preserve">. Revised ed. Cambridge: Harvard University Press, 1999.</w:t>
      </w:r>
    </w:p>
    <w:p>
      <w:pPr>
        <w:pStyle w:val="BodyText"/>
      </w:pPr>
      <w:r>
        <w:t xml:space="preserve">Hobbes, Thomas.</w:t>
      </w:r>
      <w:r>
        <w:t xml:space="preserve"> </w:t>
      </w:r>
      <w:r>
        <w:rPr>
          <w:iCs/>
          <w:i/>
        </w:rPr>
        <w:t xml:space="preserve">Leviathan</w:t>
      </w:r>
      <w:r>
        <w:t xml:space="preserve">. Edited by Richard Tuck. Cambridge: Cambridge University Press, 1996 (originally published 1651).</w:t>
      </w:r>
    </w:p>
    <w:bookmarkEnd w:id="26"/>
    <w:bookmarkStart w:id="27" w:name="chapter-seven-natural-law-without-god"/>
    <w:p>
      <w:pPr>
        <w:pStyle w:val="Heading2"/>
      </w:pPr>
      <w:r>
        <w:t xml:space="preserve">Chapter Seven: Natural Law Without God</w:t>
      </w:r>
    </w:p>
    <w:p>
      <w:pPr>
        <w:pStyle w:val="FirstParagraph"/>
      </w:pPr>
      <w:r>
        <w:t xml:space="preserve">Grotius, Hugo.</w:t>
      </w:r>
      <w:r>
        <w:t xml:space="preserve"> </w:t>
      </w:r>
      <w:r>
        <w:rPr>
          <w:iCs/>
          <w:i/>
        </w:rPr>
        <w:t xml:space="preserve">The Rights of War and Peace</w:t>
      </w:r>
      <w:r>
        <w:t xml:space="preserve">. Edited by Richard Tuck. Indianapolis: Liberty Fund, 2005 (originally published 1625).</w:t>
      </w:r>
    </w:p>
    <w:p>
      <w:pPr>
        <w:pStyle w:val="BodyText"/>
      </w:pPr>
      <w:r>
        <w:t xml:space="preserve">Aurelius, Marcus.</w:t>
      </w:r>
      <w:r>
        <w:t xml:space="preserve"> </w:t>
      </w:r>
      <w:r>
        <w:rPr>
          <w:iCs/>
          <w:i/>
        </w:rPr>
        <w:t xml:space="preserve">Meditations</w:t>
      </w:r>
      <w:r>
        <w:t xml:space="preserve">. Translated by Martin Hammond. London: Penguin Books, 2006.</w:t>
      </w:r>
    </w:p>
    <w:bookmarkEnd w:id="27"/>
    <w:bookmarkStart w:id="28" w:name="X005596ef2f78ae6c4bf38ef8318738a75e8735b"/>
    <w:p>
      <w:pPr>
        <w:pStyle w:val="Heading2"/>
      </w:pPr>
      <w:r>
        <w:t xml:space="preserve">Chapter Eight: The Hierarchy of Obligation</w:t>
      </w:r>
    </w:p>
    <w:p>
      <w:pPr>
        <w:pStyle w:val="FirstParagraph"/>
      </w:pPr>
      <w:r>
        <w:t xml:space="preserve">Sen, Amartya.</w:t>
      </w:r>
      <w:r>
        <w:t xml:space="preserve"> </w:t>
      </w:r>
      <w:r>
        <w:rPr>
          <w:iCs/>
          <w:i/>
        </w:rPr>
        <w:t xml:space="preserve">Development as Freedom</w:t>
      </w:r>
      <w:r>
        <w:t xml:space="preserve">. New York: Alfred A. Knopf, 1999.</w:t>
      </w:r>
    </w:p>
    <w:p>
      <w:pPr>
        <w:pStyle w:val="BodyText"/>
      </w:pPr>
      <w:r>
        <w:t xml:space="preserve">Nussbaum, Martha C.</w:t>
      </w:r>
      <w:r>
        <w:t xml:space="preserve"> </w:t>
      </w:r>
      <w:r>
        <w:rPr>
          <w:iCs/>
          <w:i/>
        </w:rPr>
        <w:t xml:space="preserve">Creating Capabilities: The Human Development Approach</w:t>
      </w:r>
      <w:r>
        <w:t xml:space="preserve">. Cambridge: Harvard University Press, 2011.</w:t>
      </w:r>
    </w:p>
    <w:bookmarkEnd w:id="28"/>
    <w:bookmarkStart w:id="29" w:name="Xed2a977e03c27cf6fb99c03d11c4d53a010b369"/>
    <w:p>
      <w:pPr>
        <w:pStyle w:val="Heading2"/>
      </w:pPr>
      <w:r>
        <w:t xml:space="preserve">Chapter Nine: Institutional Capture and Moral Responsibility</w:t>
      </w:r>
    </w:p>
    <w:p>
      <w:pPr>
        <w:pStyle w:val="FirstParagraph"/>
      </w:pPr>
      <w:r>
        <w:t xml:space="preserve">Arendt, Hannah.</w:t>
      </w:r>
      <w:r>
        <w:t xml:space="preserve"> </w:t>
      </w:r>
      <w:r>
        <w:rPr>
          <w:iCs/>
          <w:i/>
        </w:rPr>
        <w:t xml:space="preserve">Eichmann in Jerusalem: A Report on the Banality of Evil</w:t>
      </w:r>
      <w:r>
        <w:t xml:space="preserve">. New York: Viking Press, 1963.</w:t>
      </w:r>
    </w:p>
    <w:p>
      <w:pPr>
        <w:pStyle w:val="BodyText"/>
      </w:pPr>
      <w:r>
        <w:t xml:space="preserve">Arendt, Hannah.</w:t>
      </w:r>
      <w:r>
        <w:t xml:space="preserve"> </w:t>
      </w:r>
      <w:r>
        <w:rPr>
          <w:iCs/>
          <w:i/>
        </w:rPr>
        <w:t xml:space="preserve">The Human Condition</w:t>
      </w:r>
      <w:r>
        <w:t xml:space="preserve">. Chicago: University of Chicago Press, 1958.</w:t>
      </w:r>
    </w:p>
    <w:bookmarkEnd w:id="29"/>
    <w:bookmarkStart w:id="30" w:name="Xf6221a050addc5271a547f1a0ea23382e4a3952"/>
    <w:p>
      <w:pPr>
        <w:pStyle w:val="Heading2"/>
      </w:pPr>
      <w:r>
        <w:t xml:space="preserve">Chapter Ten: The Legitimacy of Compelled Care</w:t>
      </w:r>
    </w:p>
    <w:p>
      <w:pPr>
        <w:pStyle w:val="FirstParagraph"/>
      </w:pPr>
      <w:r>
        <w:t xml:space="preserve">Mill, John Stuart.</w:t>
      </w:r>
      <w:r>
        <w:t xml:space="preserve"> </w:t>
      </w:r>
      <w:r>
        <w:rPr>
          <w:iCs/>
          <w:i/>
        </w:rPr>
        <w:t xml:space="preserve">On Liberty</w:t>
      </w:r>
      <w:r>
        <w:t xml:space="preserve">. Edited by Stefan Collini. Cambridge: Cambridge University Press, 1989 (originally published 1859).</w:t>
      </w:r>
    </w:p>
    <w:p>
      <w:pPr>
        <w:pStyle w:val="BodyText"/>
      </w:pPr>
      <w:r>
        <w:t xml:space="preserve">Dworkin, Gerald.</w:t>
      </w:r>
      <w:r>
        <w:t xml:space="preserve"> </w:t>
      </w:r>
      <w:r>
        <w:rPr>
          <w:iCs/>
          <w:i/>
        </w:rPr>
        <w:t xml:space="preserve">The Theory and Practice of Autonomy</w:t>
      </w:r>
      <w:r>
        <w:t xml:space="preserve">. Cambridge: Cambridge University Press, 1988.</w:t>
      </w:r>
    </w:p>
    <w:bookmarkEnd w:id="30"/>
    <w:bookmarkStart w:id="31" w:name="X6169c323ab039fff9c3a6d51912116d855f1831"/>
    <w:p>
      <w:pPr>
        <w:pStyle w:val="Heading2"/>
      </w:pPr>
      <w:r>
        <w:t xml:space="preserve">Chapter Eleven: John Snow and the Moral Physicist</w:t>
      </w:r>
    </w:p>
    <w:p>
      <w:pPr>
        <w:pStyle w:val="FirstParagraph"/>
      </w:pPr>
      <w:r>
        <w:t xml:space="preserve">Snow, John.</w:t>
      </w:r>
      <w:r>
        <w:t xml:space="preserve"> </w:t>
      </w:r>
      <w:r>
        <w:rPr>
          <w:iCs/>
          <w:i/>
        </w:rPr>
        <w:t xml:space="preserve">On the Mode of Communication of Cholera</w:t>
      </w:r>
      <w:r>
        <w:t xml:space="preserve">. 2nd ed. London: John Churchill, 1855.</w:t>
      </w:r>
    </w:p>
    <w:p>
      <w:pPr>
        <w:pStyle w:val="BodyText"/>
      </w:pPr>
      <w:r>
        <w:t xml:space="preserve">Haldane, J.B.S.</w:t>
      </w:r>
      <w:r>
        <w:t xml:space="preserve"> </w:t>
      </w:r>
      <w:r>
        <w:t xml:space="preserve">“</w:t>
      </w:r>
      <w:r>
        <w:t xml:space="preserve">On Being the Right Size.</w:t>
      </w:r>
      <w:r>
        <w:t xml:space="preserve">”</w:t>
      </w:r>
      <w:r>
        <w:t xml:space="preserve"> </w:t>
      </w:r>
      <w:r>
        <w:rPr>
          <w:iCs/>
          <w:i/>
        </w:rPr>
        <w:t xml:space="preserve">Harper’s Magazine</w:t>
      </w:r>
      <w:r>
        <w:t xml:space="preserve">, March 1926.</w:t>
      </w:r>
    </w:p>
    <w:bookmarkEnd w:id="31"/>
    <w:bookmarkStart w:id="32" w:name="X48d69d9268cfa33be3e2ce46a460dd1dbb1e537"/>
    <w:p>
      <w:pPr>
        <w:pStyle w:val="Heading2"/>
      </w:pPr>
      <w:r>
        <w:t xml:space="preserve">Chapter Twelve: The Remnant and the Obligation</w:t>
      </w:r>
    </w:p>
    <w:p>
      <w:pPr>
        <w:pStyle w:val="FirstParagraph"/>
      </w:pPr>
      <w:r>
        <w:t xml:space="preserve">Havel, Václav.</w:t>
      </w:r>
      <w:r>
        <w:t xml:space="preserve"> </w:t>
      </w:r>
      <w:r>
        <w:rPr>
          <w:iCs/>
          <w:i/>
        </w:rPr>
        <w:t xml:space="preserve">The Power of the Powerless</w:t>
      </w:r>
      <w:r>
        <w:t xml:space="preserve">. Edited by John Keane. London: Hutchinson, 1985.</w:t>
      </w:r>
    </w:p>
    <w:p>
      <w:pPr>
        <w:pStyle w:val="BodyText"/>
      </w:pPr>
      <w:r>
        <w:t xml:space="preserve">MacIntyre, Alasdair.</w:t>
      </w:r>
      <w:r>
        <w:t xml:space="preserve"> </w:t>
      </w:r>
      <w:r>
        <w:rPr>
          <w:iCs/>
          <w:i/>
        </w:rPr>
        <w:t xml:space="preserve">After Virtue: A Study in Moral Theory</w:t>
      </w:r>
      <w:r>
        <w:t xml:space="preserve">. 3rd ed. Notre Dame: University of Notre Dame Press, 2007.</w:t>
      </w:r>
    </w:p>
    <w:bookmarkEnd w:id="32"/>
    <w:bookmarkStart w:id="33" w:name="X6f78d8e7385555910d3c59f191936221574a01e"/>
    <w:p>
      <w:pPr>
        <w:pStyle w:val="Heading2"/>
      </w:pPr>
      <w:r>
        <w:t xml:space="preserve">Chapter Thirteen: A Different Starting Point</w:t>
      </w:r>
    </w:p>
    <w:p>
      <w:pPr>
        <w:pStyle w:val="FirstParagraph"/>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2026-06-04T21:07:45Z</dcterms:created>
  <dcterms:modified xsi:type="dcterms:W3CDTF">2026-06-04T21:07:45Z</dcterms:modified>
</cp:coreProperties>
</file>

<file path=docProps/custom.xml><?xml version="1.0" encoding="utf-8"?>
<Properties xmlns="http://schemas.openxmlformats.org/officeDocument/2006/custom-properties" xmlns:vt="http://schemas.openxmlformats.org/officeDocument/2006/docPropsVTypes"/>
</file>