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p>
      <w:pPr>
        <w:pStyle w:val="BodyText"/>
      </w:pPr>
      <w:r>
        <w:rPr>
          <w:iCs/>
          <w:i/>
        </w:rPr>
        <w:t xml:space="preserve">Arthur, Jenifer, and Marcus are composite illustrations constructed from documented population characteristics corresponding to Pipelines B, C, and A respectively. They are not drawn from individual case files. Their purpose is to demonstrate the mechanical function of each pipeline through a human lens.</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This volume is the fourth in the Material Dignity Infrastructure series. The full theoretical framework, including the capabilities approach synthesis, the National Stability Utility model, and the complete Los Angeles operational specification with fiscal architecture and legal governance, is developed across Papers 1 through 3 available at SSRN (Abstract IDs: 5968756, 6211658, 6579600) and at bikepaths.org. This book renders that framework through three composite pipeline illustrations to make its human and architectural logic visible to a general audience.</w:t>
      </w:r>
    </w:p>
    <w:p>
      <w:pPr>
        <w:pStyle w:val="BodyText"/>
      </w:pPr>
      <w:r>
        <w:t xml:space="preserve">The governing research question underlying the full MDI series is this: Does a simultaneous five-operation engineering intervention, deploying acoustic architecture, pipeline-differentiated intake, and Dunbar-scale social infrastructure outperform fragmented legacy systems in biological stabilization, housing retention, and cost efficiency for the chronically unsheltered? The answer is verified against eight binary metrics constituting the Singular Prototype Threshold, detailed in the companion working paper. This volume demonstrates the pipeline mechanics through which that question is answered.</w:t>
      </w:r>
    </w:p>
    <w:p>
      <w:pPr>
        <w:pStyle w:val="BodyText"/>
      </w:pPr>
      <w:r>
        <w:t xml:space="preserve">Because chronic homelessness attacks the human nervous system through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B. We follow a voluntary mechanical rescue from an entrenched riverbed encampment, demonstrating how removing physical barriers, like pet separation policies, produces immediate compliance and halts polyvagal shutdown.</w:t>
      </w:r>
    </w:p>
    <w:p>
      <w:pPr>
        <w:pStyle w:val="BodyText"/>
      </w:pPr>
      <w:r>
        <w:rPr>
          <w:bCs/>
          <w:b/>
        </w:rPr>
        <w:t xml:space="preserve">Part Two</w:t>
      </w:r>
      <w:r>
        <w:t xml:space="preserve"> </w:t>
      </w:r>
      <w:r>
        <w:t xml:space="preserve">shifts to Pipeline C within the dense urban core. Pipeline C represents approximately 30 percent of the unsheltered population. The compelled legal pathway described in this section operates exclusively within existing California law, the CARE Act (2023), Laura’s Law, and the Lanterman-Petris-Short Act, all under independent judicial oversight. The MDI architecture does not create new coercive authority; it provides the destination those existing legal instruments currently lack.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A. This final segment tracks the rapid economic stabilization models engineered for recently displaced, cognitively intact populations, proving that immediate structural intervention prevents permanent neurological damage.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Pipeline</w:t>
            </w:r>
          </w:p>
        </w:tc>
        <w:tc>
          <w:tcPr/>
          <w:p>
            <w:pPr>
              <w:pStyle w:val="Compact"/>
              <w:jc w:val="left"/>
            </w:pPr>
            <w:r>
              <w:rPr>
                <w:bCs/>
                <w:b/>
              </w:rPr>
              <w:t xml:space="preserve">Population</w:t>
            </w:r>
          </w:p>
        </w:tc>
        <w:tc>
          <w:tcPr/>
          <w:p>
            <w:pPr>
              <w:pStyle w:val="Compact"/>
              <w:jc w:val="left"/>
            </w:pPr>
            <w:r>
              <w:rPr>
                <w:bCs/>
                <w:b/>
              </w:rPr>
              <w:t xml:space="preserve">% of Total</w:t>
            </w:r>
          </w:p>
        </w:tc>
        <w:tc>
          <w:tcPr/>
          <w:p>
            <w:pPr>
              <w:pStyle w:val="Compact"/>
              <w:jc w:val="left"/>
            </w:pPr>
            <w:r>
              <w:rPr>
                <w:bCs/>
                <w:b/>
              </w:rPr>
              <w:t xml:space="preserve">Primary Instrument</w:t>
            </w:r>
          </w:p>
        </w:tc>
        <w:tc>
          <w:tcPr/>
          <w:p>
            <w:pPr>
              <w:pStyle w:val="Compact"/>
              <w:jc w:val="left"/>
            </w:pPr>
            <w:r>
              <w:rPr>
                <w:bCs/>
                <w:b/>
              </w:rPr>
              <w:t xml:space="preserve">MDI Node</w:t>
            </w:r>
          </w:p>
        </w:tc>
      </w:tr>
      <w:tr>
        <w:tc>
          <w:tcPr/>
          <w:p>
            <w:pPr>
              <w:pStyle w:val="Compact"/>
              <w:jc w:val="left"/>
            </w:pPr>
            <w:r>
              <w:t xml:space="preserve">A — Voluntary</w:t>
            </w:r>
          </w:p>
        </w:tc>
        <w:tc>
          <w:tcPr/>
          <w:p>
            <w:pPr>
              <w:pStyle w:val="Compact"/>
              <w:jc w:val="left"/>
            </w:pPr>
            <w:r>
              <w:t xml:space="preserve">Near-homeless, newly displaced</w:t>
            </w:r>
          </w:p>
        </w:tc>
        <w:tc>
          <w:tcPr/>
          <w:p>
            <w:pPr>
              <w:pStyle w:val="Compact"/>
              <w:jc w:val="left"/>
            </w:pPr>
            <w:r>
              <w:t xml:space="preserve">~26%</w:t>
            </w:r>
          </w:p>
        </w:tc>
        <w:tc>
          <w:tcPr/>
          <w:p>
            <w:pPr>
              <w:pStyle w:val="Compact"/>
              <w:jc w:val="left"/>
            </w:pPr>
            <w:r>
              <w:t xml:space="preserve">CES rapid placement</w:t>
            </w:r>
          </w:p>
        </w:tc>
        <w:tc>
          <w:tcPr/>
          <w:p>
            <w:pPr>
              <w:pStyle w:val="Compact"/>
              <w:jc w:val="left"/>
            </w:pPr>
            <w:r>
              <w:t xml:space="preserve">Ground Floor → ALMU</w:t>
            </w:r>
          </w:p>
        </w:tc>
      </w:tr>
      <w:tr>
        <w:tc>
          <w:tcPr/>
          <w:p>
            <w:pPr>
              <w:pStyle w:val="Compact"/>
              <w:jc w:val="left"/>
            </w:pPr>
            <w:r>
              <w:t xml:space="preserve">B — Engageable</w:t>
            </w:r>
          </w:p>
        </w:tc>
        <w:tc>
          <w:tcPr/>
          <w:p>
            <w:pPr>
              <w:pStyle w:val="Compact"/>
              <w:jc w:val="left"/>
            </w:pPr>
            <w:r>
              <w:t xml:space="preserve">Long-term encamped, rational refusal</w:t>
            </w:r>
          </w:p>
        </w:tc>
        <w:tc>
          <w:tcPr/>
          <w:p>
            <w:pPr>
              <w:pStyle w:val="Compact"/>
              <w:jc w:val="left"/>
            </w:pPr>
            <w:r>
              <w:t xml:space="preserve">~35%</w:t>
            </w:r>
          </w:p>
        </w:tc>
        <w:tc>
          <w:tcPr/>
          <w:p>
            <w:pPr>
              <w:pStyle w:val="Compact"/>
              <w:jc w:val="left"/>
            </w:pPr>
            <w:r>
              <w:t xml:space="preserve">Warm offer at crisis window</w:t>
            </w:r>
          </w:p>
        </w:tc>
        <w:tc>
          <w:tcPr/>
          <w:p>
            <w:pPr>
              <w:pStyle w:val="Compact"/>
              <w:jc w:val="left"/>
            </w:pPr>
            <w:r>
              <w:t xml:space="preserve">Field Team → ALMU</w:t>
            </w:r>
          </w:p>
        </w:tc>
      </w:tr>
      <w:tr>
        <w:tc>
          <w:tcPr/>
          <w:p>
            <w:pPr>
              <w:pStyle w:val="Compact"/>
              <w:jc w:val="left"/>
            </w:pPr>
            <w:r>
              <w:t xml:space="preserve">C — Calcified</w:t>
            </w:r>
          </w:p>
        </w:tc>
        <w:tc>
          <w:tcPr/>
          <w:p>
            <w:pPr>
              <w:pStyle w:val="Compact"/>
              <w:jc w:val="left"/>
            </w:pPr>
            <w:r>
              <w:t xml:space="preserve">Behaviorally calcified, anosognosia</w:t>
            </w:r>
          </w:p>
        </w:tc>
        <w:tc>
          <w:tcPr/>
          <w:p>
            <w:pPr>
              <w:pStyle w:val="Compact"/>
              <w:jc w:val="left"/>
            </w:pPr>
            <w:r>
              <w:t xml:space="preserve">~34%</w:t>
            </w:r>
          </w:p>
        </w:tc>
        <w:tc>
          <w:tcPr/>
          <w:p>
            <w:pPr>
              <w:pStyle w:val="Compact"/>
              <w:jc w:val="left"/>
            </w:pPr>
            <w:r>
              <w:t xml:space="preserve">ACT + CARE Court + AOT/LPS</w:t>
            </w:r>
          </w:p>
        </w:tc>
        <w:tc>
          <w:tcPr/>
          <w:p>
            <w:pPr>
              <w:pStyle w:val="Compact"/>
              <w:jc w:val="left"/>
            </w:pPr>
            <w:r>
              <w:t xml:space="preserve">Field → Legal → ALMU</w:t>
            </w:r>
          </w:p>
        </w:tc>
      </w:tr>
      <w:tr>
        <w:tc>
          <w:tcPr/>
          <w:p>
            <w:pPr>
              <w:pStyle w:val="Compact"/>
              <w:jc w:val="left"/>
            </w:pPr>
            <w:r>
              <w:t xml:space="preserve">C (Riparian)</w:t>
            </w:r>
          </w:p>
        </w:tc>
        <w:tc>
          <w:tcPr/>
          <w:p>
            <w:pPr>
              <w:pStyle w:val="Compact"/>
              <w:jc w:val="left"/>
            </w:pPr>
            <w:r>
              <w:t xml:space="preserve">Hidden, terrain-adapted, mobile</w:t>
            </w:r>
          </w:p>
        </w:tc>
        <w:tc>
          <w:tcPr/>
          <w:p>
            <w:pPr>
              <w:pStyle w:val="Compact"/>
              <w:jc w:val="left"/>
            </w:pPr>
            <w:r>
              <w:t xml:space="preserve">+20–30% above PIT count</w:t>
            </w:r>
          </w:p>
        </w:tc>
        <w:tc>
          <w:tcPr/>
          <w:p>
            <w:pPr>
              <w:pStyle w:val="Compact"/>
              <w:jc w:val="left"/>
            </w:pPr>
            <w:r>
              <w:t xml:space="preserve">FLIR + environmental enforcement</w:t>
            </w:r>
          </w:p>
        </w:tc>
        <w:tc>
          <w:tcPr/>
          <w:p>
            <w:pPr>
              <w:pStyle w:val="Compact"/>
              <w:jc w:val="left"/>
            </w:pPr>
            <w:r>
              <w:t xml:space="preserve">LARWQCB → Warm Offer → ALMU</w:t>
            </w:r>
          </w:p>
        </w:tc>
      </w:tr>
      <w:tr>
        <w:tc>
          <w:tcPr/>
          <w:p>
            <w:pPr>
              <w:pStyle w:val="Compact"/>
              <w:jc w:val="left"/>
            </w:pPr>
            <w:r>
              <w:t xml:space="preserve">D — Nomadic</w:t>
            </w:r>
          </w:p>
        </w:tc>
        <w:tc>
          <w:tcPr/>
          <w:p>
            <w:pPr>
              <w:pStyle w:val="Compact"/>
              <w:jc w:val="left"/>
            </w:pPr>
            <w:r>
              <w:t xml:space="preserve">Voluntary outdoor living, preference-based</w:t>
            </w:r>
          </w:p>
        </w:tc>
        <w:tc>
          <w:tcPr/>
          <w:p>
            <w:pPr>
              <w:pStyle w:val="Compact"/>
              <w:jc w:val="left"/>
            </w:pPr>
            <w:r>
              <w:t xml:space="preserve">~5%</w:t>
            </w:r>
          </w:p>
        </w:tc>
        <w:tc>
          <w:tcPr/>
          <w:p>
            <w:pPr>
              <w:pStyle w:val="Compact"/>
              <w:jc w:val="left"/>
            </w:pPr>
            <w:r>
              <w:t xml:space="preserve">Harm reduction, no placement requirement</w:t>
            </w:r>
          </w:p>
        </w:tc>
        <w:tc>
          <w:tcPr/>
          <w:p>
            <w:pPr>
              <w:pStyle w:val="Compact"/>
              <w:jc w:val="left"/>
            </w:pPr>
            <w:r>
              <w:t xml:space="preserve">Ground Floor open access only</w:t>
            </w:r>
          </w:p>
        </w:tc>
      </w:tr>
    </w:tbl>
    <w:p>
      <w:pPr>
        <w:pStyle w:val="BodyText"/>
      </w:pPr>
      <w:r>
        <w:t xml:space="preserve">Note: Arthur demonstrates Pipeline B (engageable, pet barrier resolved by zero-separation policy). Jenifer demonstrates Pipeline C (compelled pathway, anosognosia, CARE Court). Marcus demonstrates Pipeline A (economically displaced, intact cognition, rapid exit).</w:t>
      </w:r>
    </w:p>
    <w:p>
      <w:pPr>
        <w:pStyle w:val="BodyText"/>
      </w:pPr>
      <w:r>
        <w:t xml:space="preserve">The overarching engine requires definition. The MDI Tower triages damaged human biology using strict architectural controls. It deploys Phase Zero decompression wings rated to STC-65 soundproofing to physically extinguish adrenal hyper-vigilance. It limits community floors to 154 residents to match Dunbar’s Number and respect human cognitive thresholds. It grants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pPr>
        <w:pStyle w:val="BodyText"/>
      </w:pPr>
      <w:r>
        <w:rPr>
          <w:iCs/>
          <w:i/>
        </w:rPr>
        <w:t xml:space="preserve">A complete plain-language overview of the MDI engineering framework, including all five operations, the pipeline taxonomy, the fiscal architecture, and the eight verification metrics, is available at bikepaths.org/blog/topics/audio/podcasts/conceptual_framework/MDI_Engineering_Framework_Plain-Language_Guide.htm</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body mechanics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A: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sorts victims into pipelines,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 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 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twisting his intestines like a fist.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 his tarps, his propane, his carefully hoarded copper wire, into the crushing jaws of a garbage truck. It meant losing the woven branch dome he had bled to build. It meant starting over with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They did not shout orders through a megaphone. They stood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They never carried the heavy, silver clipboards that usually signaled a county intake team.</w:t>
      </w:r>
    </w:p>
    <w:p>
      <w:pPr>
        <w:pStyle w:val="BodyText"/>
      </w:pPr>
      <w:r>
        <w:t xml:space="preserve">They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 packed with armed security guards, shouting patients, and slamming doors, forces an already exhausted brain deeper into survival panic.</w:t>
      </w:r>
    </w:p>
    <w:p>
      <w:pPr>
        <w:pStyle w:val="BodyText"/>
      </w:pPr>
      <w:r>
        <w:t xml:space="preserve">Tower One eliminated that chaos.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When you’re ready to transition to a community pod upstairs, he’ll move to the veterinary kennel on the second floor with open daily visitation. Since dogs aren’t allowed in the corridors or common areas, you’ll visit him there.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opened, a staff member guided Arthur to the elevator, bypassing the second floor, and up to the Phase Zero decompression wing. Arthur stepped into the corridor, bracing himself. He expected the familiar, terrifying noise of a massive congregate shelter: the shouting of fifty strangers in a gymnasium, the hacking coughs echoing off cinderblock walls, the metallic crash of steel bunks, and the constant threat of theft. The infrastructure mandated the elimination of congregate dormitories, strictly enforcing individual acoustic isolation.</w:t>
      </w:r>
    </w:p>
    <w:p>
      <w:pPr>
        <w:pStyle w:val="BodyText"/>
      </w:pPr>
      <w:r>
        <w:t xml:space="preserve">He heard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surrendered. On the street, sleep is a liability. If you sleep deeply in the riverbed, you lose your supplies, or you lose your life. But behind an STC-65 wall and a locked deadbolt, the primitive brain stem receives the signal that it is safe to power down.</w:t>
      </w:r>
    </w:p>
    <w:p>
      <w:pPr>
        <w:pStyle w:val="BodyText"/>
      </w:pPr>
      <w:r>
        <w:t xml:space="preserve">He slept for fourteen consecutive hours.</w:t>
      </w:r>
    </w:p>
    <w:p>
      <w:pPr>
        <w:pStyle w:val="BodyText"/>
      </w:pPr>
      <w:r>
        <w:t xml:space="preserve">When Arthur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listened to the silence of the room. He heard the soft, rhythmic breathing of Buster sleeping in the padded pet alcove near the bathroom.</w:t>
      </w:r>
    </w:p>
    <w:p>
      <w:pPr>
        <w:pStyle w:val="BodyText"/>
      </w:pPr>
      <w:r>
        <w:t xml:space="preserve">The silence operated as a potent form of medicine. By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acoustic and physical isolation, Arthur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 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 a neurological threshold known as Dunbar’s number. When legacy shelters pack three hundred traumatized individuals into a single armory, the brain registers the crowd as an uncontrollable threat. Fights break out. Paranoia spikes. People flee back to the streets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 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 a terrified young man fresh out of the medical decompression wing, 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clear. The persistent, rattling cough that had echoed through the concrete riverbed all winter had vanished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 from a freezing mud island to a sunlit duplex, 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C.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stabilization suite measured twelve feet by fourteen feet, designed with the clean, quiet comfort of a premium hotel. Behind smooth acoustic wall panels, an advanced environmental control system maintained the air at a steady sixty-eight degrees and forty percent relative humidity in silence. A private bathroom, equipped with a full bath and pre-set, regulated hot water, sat behind a sliding door. In the corner, a dedicated alcove with a cushioned floor pad stood ready for a resident’s pet, accommodating the animal companion. Natural sunlight entered through a sealed, double-glazed window. A living wall of low-maintenance ferns and moss occupied the panel beside the bathroom door, part of the biophilic design specification that the MDI architecture required on every residential floor. A wall-mounted media screen, call buttons, an outbound telephone, and network access points provided connectivity and diversion. The room was not a cell. It was a medical sanctuary engineered to the biological specifications that street survival destroys.</w:t>
      </w:r>
    </w:p>
    <w:p>
      <w:pPr>
        <w:pStyle w:val="BodyText"/>
      </w:pPr>
      <w:r>
        <w:t xml:space="preserve">For the vast majority of residents who entered Tower One’s Phase Zero decompression wing, the stabilization suite functioned as a voluntary recovery environment. Pipeline A and Pipeline B residents received digital keycards at intake. They locked and unlocked their own doors. They controlled the media screen, adjusted the ambient lighting, used the bath at any hour, and picked up the outbound telephone to speak with friends, relatives, caseworkers, or journalists, anyone they chose to call. Residents with animal companions kept their pets in the cushioned alcove beside the bathroom, maintaining the zero-separation bond that the MDI architecture treated as a clinical asset rather than a logistical inconvenience. Many of these residents required no formal metabolic stabilization protocol at all; they needed acoustic sanctuary, uninterrupted sleep, and the biological certainty that no threat would breach their walls. When they chose to leave, they requested an exit interview with the floor coordinator, signed a brief discharge summary, and walked out through the lobby with their belongings and their animals. The suite restored capability. The resident retained agency throughout.</w:t>
      </w:r>
    </w:p>
    <w:p>
      <w:pPr>
        <w:pStyle w:val="BodyText"/>
      </w:pPr>
      <w:r>
        <w:t xml:space="preserve">This voluntary baseline defined the operational identity of the decompression wing. The suite existed to provide the biological preconditions for human function that Amartya Sen’s capability framework identifies as the state’s foundational obligation: not just resources delivered, but the physical capacity to convert those resources into a life worth choosing. A locked door the resident controls. Silence deep enough to permit sleep. Warmth regulated to the thermoneutral zone. Water heated to a preset temperature that eliminates the sensory shock of cold plumbing. These are not amenities. They are the minimum architectural inputs required to halt cortisol flooding, restore circadian rhythm, and return the prefrontal cortex to the baseline from which voluntary decision-making becomes neurologically possible.</w:t>
      </w:r>
    </w:p>
    <w:p>
      <w:pPr>
        <w:pStyle w:val="BodyText"/>
      </w:pPr>
      <w:r>
        <w:t xml:space="preserve">But the same architecture that healed the voluntary resident also served a second, distinct function for individuals who had lost the biological capacity to choose healing for themselves.</w:t>
      </w:r>
    </w:p>
    <w:p>
      <w:pPr>
        <w:pStyle w:val="BodyText"/>
      </w:pPr>
      <w:r>
        <w:t xml:space="preserve">Jenifer arrived under a court-ordered LPS conservatorship, the legal instrument described in Chapter 8. Her keycard reader operated in override-only mode. Her door locked from the corridor side, and only credentialed medical personnel could release the magnetic seal. The intake team had powered down the media screen, the network access points, and the call buttons to provide her damaged sensory circuits with a period of absolute rest. Under all other conditions, the suite remained secured, providing containment and safety without the intrusive checks, counseling pamphlets, or forced interactions that would trigger her survival panic.</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failure of biological reasoning. Punitive solitary confinement in prisons strips all meaningful stimuli while leaving the subject exposed to sudden, unpredictable threats like guard keys, cell checks, and ambient screaming. That environment elevates cortisol and exacerbates trauma. The civil libertarian position that equates acoustic medical stabilization with carceral punishment relies on a baseline of biological abandonment: the implicit assertion that leaving Jenifer on the pavement at Fifth and San Pedro, sorting torn clothing while delivery trucks pass inches from her skull, constitutes a defensible expression of personal liberty. It does not. A nervous system that cannot perceive a speeding vehicle is not exercising freedom. It is trapped in a feedback loop of physiological destruction that no amount of theoretical autonomy can interrupt.</w:t>
      </w:r>
    </w:p>
    <w:p>
      <w:pPr>
        <w:pStyle w:val="BodyText"/>
      </w:pPr>
      <w:r>
        <w:t xml:space="preserve">The STC-65 stabilization suite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conservatorship order placed her in medical care,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C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an intact prefrontal cortex. He did not suffer from synthetic drug addiction or severe behavioral calcification. He represented Pipeline A: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A becomes Pipeline B becomes Pipeline C.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from the other demographic pipelines. He did not require the ninety-day STC-65 Phase Zero decompression protocol that Arthur needed to recover from three years of riverbed hyper-vigilance. He did not need the court-ordered medical containment that Jenifer’s conservatorship required.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A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6"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A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A outcomes against the county’s historical baseline for rapid-rehousing programs, which typically ran at thirty-one percent recidivism within the first year.</w:t>
      </w:r>
    </w:p>
    <w:p>
      <w:pPr>
        <w:pStyle w:val="BodyText"/>
      </w:pPr>
      <w:r>
        <w:t xml:space="preserve">“</w:t>
      </w:r>
      <w:r>
        <w:t xml:space="preserve">Pipeline B,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C?</w:t>
      </w:r>
      <w:r>
        <w:t xml:space="preserve">”</w:t>
      </w:r>
    </w:p>
    <w:p>
      <w:pPr>
        <w:pStyle w:val="BodyText"/>
      </w:pPr>
      <w:r>
        <w:t xml:space="preserve">“</w:t>
      </w:r>
      <w:r>
        <w:t xml:space="preserve">Pipeline C operates on a different clinical timeline. The conservatorship cohort requires long-term stabilization with no predetermined discharge date. Cost avoidance in that population is measured against emergency department volume.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Before addressing the fifth pipeline, the board must understand the operational baseline: the overwhelming majority of our residents enter the tower voluntarily because the architecture offers genuine biological sanctuary. They are victims. But the conflation you just described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bookmarkStart w:id="35" w:name="the-eight-verification-metrics"/>
    <w:p>
      <w:pPr>
        <w:pStyle w:val="Heading3"/>
      </w:pPr>
      <w:r>
        <w:t xml:space="preserve">The Eight Verification Metrics</w:t>
      </w:r>
    </w:p>
    <w:p>
      <w:pPr>
        <w:pStyle w:val="FirstParagraph"/>
      </w:pPr>
      <w:r>
        <w:rPr>
          <w:iCs/>
          <w:i/>
        </w:rPr>
        <w:t xml:space="preserve">The fiscal efficiency described in this chapter is not a projection based on intention. It is a falsifiable claim evaluated against eight binary verification metrics constituting the Singular Prototype Threshold. All eight must pass at One California Plaza before a single additional tower is acquired. Failure of any metric halts network expansion and triggers architectural revision. This clause is the difference between a policy proposal, evaluated on intention, and an engineering specification, evaluated on measured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What Is Being Measured</w:t>
            </w:r>
          </w:p>
        </w:tc>
        <w:tc>
          <w:tcPr/>
          <w:p>
            <w:pPr>
              <w:pStyle w:val="Compact"/>
              <w:jc w:val="left"/>
            </w:pPr>
            <w:r>
              <w:rPr>
                <w:bCs/>
                <w:b/>
              </w:rPr>
              <w:t xml:space="preserve">Threshold to Pass</w:t>
            </w:r>
          </w:p>
        </w:tc>
        <w:tc>
          <w:tcPr/>
          <w:p>
            <w:pPr>
              <w:pStyle w:val="Compact"/>
              <w:jc w:val="left"/>
            </w:pPr>
            <w:r>
              <w:rPr>
                <w:bCs/>
                <w:b/>
              </w:rPr>
              <w:t xml:space="preserve">How Verified</w:t>
            </w:r>
          </w:p>
        </w:tc>
      </w:tr>
      <w:tr>
        <w:tc>
          <w:tcPr/>
          <w:p>
            <w:pPr>
              <w:pStyle w:val="Compact"/>
              <w:jc w:val="left"/>
            </w:pPr>
            <w:r>
              <w:rPr>
                <w:bCs/>
                <w:b/>
              </w:rPr>
              <w:t xml:space="preserve">1</w:t>
            </w:r>
          </w:p>
        </w:tc>
        <w:tc>
          <w:tcPr/>
          <w:p>
            <w:pPr>
              <w:pStyle w:val="Compact"/>
              <w:jc w:val="left"/>
            </w:pPr>
            <w:r>
              <w:t xml:space="preserve">Encampment reduction in target zone</w:t>
            </w:r>
          </w:p>
        </w:tc>
        <w:tc>
          <w:tcPr/>
          <w:p>
            <w:pPr>
              <w:pStyle w:val="Compact"/>
              <w:jc w:val="left"/>
            </w:pPr>
            <w:r>
              <w:t xml:space="preserve">70–80% within 24 months of activation</w:t>
            </w:r>
          </w:p>
        </w:tc>
        <w:tc>
          <w:tcPr/>
          <w:p>
            <w:pPr>
              <w:pStyle w:val="Compact"/>
              <w:jc w:val="left"/>
            </w:pPr>
            <w:r>
              <w:t xml:space="preserve">LAHSA Point-in-Time methodology</w:t>
            </w:r>
          </w:p>
        </w:tc>
      </w:tr>
      <w:tr>
        <w:tc>
          <w:tcPr/>
          <w:p>
            <w:pPr>
              <w:pStyle w:val="Compact"/>
              <w:jc w:val="left"/>
            </w:pPr>
            <w:r>
              <w:rPr>
                <w:bCs/>
                <w:b/>
              </w:rPr>
              <w:t xml:space="preserve">2</w:t>
            </w:r>
          </w:p>
        </w:tc>
        <w:tc>
          <w:tcPr/>
          <w:p>
            <w:pPr>
              <w:pStyle w:val="Compact"/>
              <w:jc w:val="left"/>
            </w:pPr>
            <w:r>
              <w:t xml:space="preserve">Continuous housing retention</w:t>
            </w:r>
          </w:p>
        </w:tc>
        <w:tc>
          <w:tcPr/>
          <w:p>
            <w:pPr>
              <w:pStyle w:val="Compact"/>
              <w:jc w:val="left"/>
            </w:pPr>
            <w:r>
              <w:t xml:space="preserve">≥85% at 24 months post-placement</w:t>
            </w:r>
          </w:p>
        </w:tc>
        <w:tc>
          <w:tcPr/>
          <w:p>
            <w:pPr>
              <w:pStyle w:val="Compact"/>
              <w:jc w:val="left"/>
            </w:pPr>
            <w:r>
              <w:t xml:space="preserve">HMIS registry tracking</w:t>
            </w:r>
          </w:p>
        </w:tc>
      </w:tr>
      <w:tr>
        <w:tc>
          <w:tcPr/>
          <w:p>
            <w:pPr>
              <w:pStyle w:val="Compact"/>
              <w:jc w:val="left"/>
            </w:pPr>
            <w:r>
              <w:rPr>
                <w:bCs/>
                <w:b/>
              </w:rPr>
              <w:t xml:space="preserve">3</w:t>
            </w:r>
          </w:p>
        </w:tc>
        <w:tc>
          <w:tcPr/>
          <w:p>
            <w:pPr>
              <w:pStyle w:val="Compact"/>
              <w:jc w:val="left"/>
            </w:pPr>
            <w:r>
              <w:t xml:space="preserve">Emergency service cost reduction</w:t>
            </w:r>
          </w:p>
        </w:tc>
        <w:tc>
          <w:tcPr/>
          <w:p>
            <w:pPr>
              <w:pStyle w:val="Compact"/>
              <w:jc w:val="left"/>
            </w:pPr>
            <w:r>
              <w:t xml:space="preserve">≥$40,000 per resident per year</w:t>
            </w:r>
          </w:p>
        </w:tc>
        <w:tc>
          <w:tcPr/>
          <w:p>
            <w:pPr>
              <w:pStyle w:val="Compact"/>
              <w:jc w:val="left"/>
            </w:pPr>
            <w:r>
              <w:t xml:space="preserve">County fiscal audit</w:t>
            </w:r>
          </w:p>
        </w:tc>
      </w:tr>
      <w:tr>
        <w:tc>
          <w:tcPr/>
          <w:p>
            <w:pPr>
              <w:pStyle w:val="Compact"/>
              <w:jc w:val="left"/>
            </w:pPr>
            <w:r>
              <w:rPr>
                <w:bCs/>
                <w:b/>
              </w:rPr>
              <w:t xml:space="preserve">4</w:t>
            </w:r>
          </w:p>
        </w:tc>
        <w:tc>
          <w:tcPr/>
          <w:p>
            <w:pPr>
              <w:pStyle w:val="Compact"/>
              <w:jc w:val="left"/>
            </w:pPr>
            <w:r>
              <w:t xml:space="preserve">Voluntary acceptance rate, Pipeline B</w:t>
            </w:r>
          </w:p>
        </w:tc>
        <w:tc>
          <w:tcPr/>
          <w:p>
            <w:pPr>
              <w:pStyle w:val="Compact"/>
              <w:jc w:val="left"/>
            </w:pPr>
            <w:r>
              <w:t xml:space="preserve">≥55% at targeted warm offer</w:t>
            </w:r>
          </w:p>
        </w:tc>
        <w:tc>
          <w:tcPr/>
          <w:p>
            <w:pPr>
              <w:pStyle w:val="Compact"/>
              <w:jc w:val="left"/>
            </w:pPr>
            <w:r>
              <w:t xml:space="preserve">Field ACT team records</w:t>
            </w:r>
          </w:p>
        </w:tc>
      </w:tr>
      <w:tr>
        <w:tc>
          <w:tcPr/>
          <w:p>
            <w:pPr>
              <w:pStyle w:val="Compact"/>
              <w:jc w:val="left"/>
            </w:pPr>
            <w:r>
              <w:rPr>
                <w:bCs/>
                <w:b/>
              </w:rPr>
              <w:t xml:space="preserve">5</w:t>
            </w:r>
          </w:p>
        </w:tc>
        <w:tc>
          <w:tcPr/>
          <w:p>
            <w:pPr>
              <w:pStyle w:val="Compact"/>
              <w:jc w:val="left"/>
            </w:pPr>
            <w:r>
              <w:t xml:space="preserve">Legal lever Pipeline C augmentation</w:t>
            </w:r>
          </w:p>
        </w:tc>
        <w:tc>
          <w:tcPr/>
          <w:p>
            <w:pPr>
              <w:pStyle w:val="Compact"/>
              <w:jc w:val="left"/>
            </w:pPr>
            <w:r>
              <w:t xml:space="preserve">≥15% of C-cohort housed via compelled pathways</w:t>
            </w:r>
          </w:p>
        </w:tc>
        <w:tc>
          <w:tcPr/>
          <w:p>
            <w:pPr>
              <w:pStyle w:val="Compact"/>
              <w:jc w:val="left"/>
            </w:pPr>
            <w:r>
              <w:t xml:space="preserve">CARE Court / AOT records</w:t>
            </w:r>
          </w:p>
        </w:tc>
      </w:tr>
      <w:tr>
        <w:tc>
          <w:tcPr/>
          <w:p>
            <w:pPr>
              <w:pStyle w:val="Compact"/>
              <w:jc w:val="left"/>
            </w:pPr>
            <w:r>
              <w:rPr>
                <w:bCs/>
                <w:b/>
              </w:rPr>
              <w:t xml:space="preserve">6</w:t>
            </w:r>
          </w:p>
        </w:tc>
        <w:tc>
          <w:tcPr/>
          <w:p>
            <w:pPr>
              <w:pStyle w:val="Compact"/>
              <w:jc w:val="left"/>
            </w:pPr>
            <w:r>
              <w:t xml:space="preserve">Capital recovery timeline</w:t>
            </w:r>
          </w:p>
        </w:tc>
        <w:tc>
          <w:tcPr/>
          <w:p>
            <w:pPr>
              <w:pStyle w:val="Compact"/>
              <w:jc w:val="left"/>
            </w:pPr>
            <w:r>
              <w:t xml:space="preserve">≤45 months from activation to breakeven</w:t>
            </w:r>
          </w:p>
        </w:tc>
        <w:tc>
          <w:tcPr/>
          <w:p>
            <w:pPr>
              <w:pStyle w:val="Compact"/>
              <w:jc w:val="left"/>
            </w:pPr>
            <w:r>
              <w:t xml:space="preserve">Stewardship Authority audit</w:t>
            </w:r>
          </w:p>
        </w:tc>
      </w:tr>
      <w:tr>
        <w:tc>
          <w:tcPr/>
          <w:p>
            <w:pPr>
              <w:pStyle w:val="Compact"/>
              <w:jc w:val="left"/>
            </w:pPr>
            <w:r>
              <w:rPr>
                <w:bCs/>
                <w:b/>
              </w:rPr>
              <w:t xml:space="preserve">7</w:t>
            </w:r>
          </w:p>
        </w:tc>
        <w:tc>
          <w:tcPr/>
          <w:p>
            <w:pPr>
              <w:pStyle w:val="Compact"/>
              <w:jc w:val="left"/>
            </w:pPr>
            <w:r>
              <w:t xml:space="preserve">Sustained Phase Zero clearance</w:t>
            </w:r>
          </w:p>
        </w:tc>
        <w:tc>
          <w:tcPr/>
          <w:p>
            <w:pPr>
              <w:pStyle w:val="Compact"/>
              <w:jc w:val="left"/>
            </w:pPr>
            <w:r>
              <w:t xml:space="preserve">≥70% maintaining ≥2 indicators across 60–90 day window</w:t>
            </w:r>
          </w:p>
        </w:tc>
        <w:tc>
          <w:tcPr/>
          <w:p>
            <w:pPr>
              <w:pStyle w:val="Compact"/>
              <w:jc w:val="left"/>
            </w:pPr>
            <w:r>
              <w:t xml:space="preserve">MHRC clinical records</w:t>
            </w:r>
          </w:p>
        </w:tc>
      </w:tr>
      <w:tr>
        <w:tc>
          <w:tcPr/>
          <w:p>
            <w:pPr>
              <w:pStyle w:val="Compact"/>
              <w:jc w:val="left"/>
            </w:pPr>
            <w:r>
              <w:rPr>
                <w:bCs/>
                <w:b/>
              </w:rPr>
              <w:t xml:space="preserve">8</w:t>
            </w:r>
          </w:p>
        </w:tc>
        <w:tc>
          <w:tcPr/>
          <w:p>
            <w:pPr>
              <w:pStyle w:val="Compact"/>
              <w:jc w:val="left"/>
            </w:pPr>
            <w:r>
              <w:t xml:space="preserve">System throughput integrity</w:t>
            </w:r>
          </w:p>
        </w:tc>
        <w:tc>
          <w:tcPr/>
          <w:p>
            <w:pPr>
              <w:pStyle w:val="Compact"/>
              <w:jc w:val="left"/>
            </w:pPr>
            <w:r>
              <w:t xml:space="preserve">Zero backlog exceeding 15 days for Phase Zero entry</w:t>
            </w:r>
          </w:p>
        </w:tc>
        <w:tc>
          <w:tcPr/>
          <w:p>
            <w:pPr>
              <w:pStyle w:val="Compact"/>
              <w:jc w:val="left"/>
            </w:pPr>
            <w:r>
              <w:t xml:space="preserve">MHRC flow regulator audit</w:t>
            </w:r>
          </w:p>
        </w:tc>
      </w:tr>
    </w:tbl>
    <w:p>
      <w:pPr>
        <w:pStyle w:val="BodyText"/>
      </w:pPr>
      <w:r>
        <w:rPr>
          <w:bCs/>
          <w:b/>
        </w:rPr>
        <w:t xml:space="preserve">Note on Metric 7:</w:t>
      </w:r>
      <w:r>
        <w:t xml:space="preserve"> </w:t>
      </w:r>
      <w:r>
        <w:rPr>
          <w:iCs/>
          <w:i/>
        </w:rPr>
        <w:t xml:space="preserve">This is the causal verification metric. A retention gain at Metric 2 without a clearance gain at Metric 7 cannot be attributed to the Metabolic Stabilization sequencing design. All eight metrics must pass before network expansion proceeds.</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End w:id="36"/>
    <w:bookmarkStart w:id="41" w:name="citations-and-sources"/>
    <w:p>
      <w:pPr>
        <w:pStyle w:val="Heading1"/>
      </w:pPr>
      <w:r>
        <w:t xml:space="preserve">Citations and Sources</w:t>
      </w:r>
    </w:p>
    <w:bookmarkStart w:id="37" w:name="neuroscience-and-polyvagal-theory"/>
    <w:p>
      <w:pPr>
        <w:pStyle w:val="Heading2"/>
      </w:pPr>
      <w:r>
        <w:t xml:space="preserve">Neuroscience and Polyvagal Theory</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X8e6886458ce11af76a1cdbf7c820fda0cda5c8e"/>
    <w:p>
      <w:pPr>
        <w:pStyle w:val="Heading2"/>
      </w:pPr>
      <w:r>
        <w:t xml:space="preserve">Urban Homelessness: Policy and Cost Evidence</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p>
      <w:pPr>
        <w:pStyle w:val="BodyText"/>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pod-integration-and-dunbars-number"/>
    <w:p>
      <w:pPr>
        <w:pStyle w:val="Heading2"/>
      </w:pPr>
      <w:r>
        <w:t xml:space="preserve">Pod Integration and Dunbar’s Number</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housing-first-evidence-and-outcomes"/>
    <w:p>
      <w:pPr>
        <w:pStyle w:val="Heading2"/>
      </w:pPr>
      <w:r>
        <w:t xml:space="preserve">Housing First: Evidence and Outcomes</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p>
      <w:r>
        <w:pict>
          <v:rect style="width:0;height:1.5pt" o:hralign="center" o:hrstd="t" o:hr="t"/>
        </w:pict>
      </w:r>
    </w:p>
    <w:bookmarkEnd w:id="41"/>
    <w:bookmarkStart w:id="42" w:name="about-the-author"/>
    <w:p>
      <w:pPr>
        <w:pStyle w:val="Heading1"/>
      </w:pPr>
      <w:r>
        <w:t xml:space="preserve">About the Author</w:t>
      </w:r>
    </w:p>
    <w:bookmarkEnd w:id="42"/>
    <w:bookmarkStart w:id="43" w:name="about-the-author-1"/>
    <w:p>
      <w:pPr>
        <w:pStyle w:val="Heading1"/>
      </w:pPr>
      <w:r>
        <w:t xml:space="preserve">About the Author</w:t>
      </w:r>
    </w:p>
    <w:p>
      <w:pPr>
        <w:pStyle w:val="FirstParagraph"/>
      </w:pPr>
      <w:r>
        <w:t xml:space="preserve">Charles J. DiBella is a Principal Systems Architect whose work sits at the intersection of urban economics, clinical systems design, and public infrastructure engineering. Since 1997, DiBella has lived and traveled full-time by bicycle, logging thousands of miles across coast-to-coast American journeys, including extensive tours through Southeast Asia and Europe. This life, conducted at street level and sustained across three decades, provided the observational foundation for the Material Dignity Infrastructure.</w:t>
      </w:r>
    </w:p>
    <w:p>
      <w:pPr>
        <w:pStyle w:val="BodyText"/>
      </w:pPr>
      <w:r>
        <w:t xml:space="preserve">The MDI framework did not emerge from academic study of homelessness; it emerged from direct, sustained immersion in the physical realities of street life: the metabolic destruction of outdoor sleeping, the survival architecture that encampment communities build under pressure, the rational logic behind shelter refusal, and the precise moment when voluntary engagement becomes physiologically possible.</w:t>
      </w:r>
    </w:p>
    <w:p>
      <w:pPr>
        <w:pStyle w:val="BodyText"/>
      </w:pPr>
      <w:r>
        <w:t xml:space="preserve">DiBella’s background spans architectural design, blueprint and implementation science, and engineering, disciplines that train practitioners to think in specifications, tolerances, and falsifiable performance thresholds rather than intentions and policy proposals. The MDI framework reflects that disciplinary grounding; it is an industrial specification, not a program description. Four working papers in the Material Dignity Infrastructure series are available via SSRN. This volume is the fourth book in a companion series published through Amazon KDP. Further technical documentation, audio companions, and the plain-language framework guide are available at bikepaths.org.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2026-06-16T00:02:16Z</dcterms:created>
  <dcterms:modified xsi:type="dcterms:W3CDTF">2026-06-16T00:02:16Z</dcterms:modified>
</cp:coreProperties>
</file>

<file path=docProps/custom.xml><?xml version="1.0" encoding="utf-8"?>
<Properties xmlns="http://schemas.openxmlformats.org/officeDocument/2006/custom-properties" xmlns:vt="http://schemas.openxmlformats.org/officeDocument/2006/docPropsVTypes"/>
</file>