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Documenting the physiological, neurological, and social transition of a single individual from chronic unsheltered homelessness to stable independence, this case study validates the clinical mechanics of the Material Dignity Infrastructure. Through architectural and clinical stabilization, the model restores autonomic agency.</w:t>
      </w:r>
    </w:p>
    <w:p>
      <w:r>
        <w:pict>
          <v:rect style="width:0;height:1.5pt" o:hralign="center" o:hrstd="t" o:hr="t"/>
        </w:pict>
      </w:r>
    </w:p>
    <w:bookmarkEnd w:id="20"/>
    <w:bookmarkStart w:id="21" w:name="chapter-1-the-invisible-island"/>
    <w:p>
      <w:pPr>
        <w:pStyle w:val="Heading1"/>
      </w:pPr>
      <w:r>
        <w:t xml:space="preserve">Chapter 1: The Invisible Island</w:t>
      </w:r>
    </w:p>
    <w:p>
      <w:pPr>
        <w:pStyle w:val="FirstParagraph"/>
      </w:pPr>
      <w:r>
        <w:t xml:space="preserve">Glendale Narrows segment four features dense willow canopies and deep concrete channel banks that obscure human occupancy from municipal view. Within this waterway corridor, at coordinates 34.1165° N, 118.2615° W, Marcus established a semi-permanent camp on a mud island. For years, the surrounding concrete banks and fifteen-foot shallow river channel served as natural barriers against enforcement sweeps. His double-tarped dome framework, constructed from woven willow branches and conduit metal tubing, anchored directly into the riverbed clay to withstand seasonal water flow.</w:t>
      </w:r>
    </w:p>
    <w:p>
      <w:pPr>
        <w:pStyle w:val="BodyText"/>
      </w:pPr>
      <w:r>
        <w:t xml:space="preserve">Living in chronic exposure drives the nervous system into constant hyper-vigilance. Every sound, including freeway traffic on the adjacent Interstate 5 and the rustle of dry willow leaves, registered as an immediate threat. Because threat scanning remained constant, high cortisol production disrupted metabolic systems and cellular repair. To seal out riverbed moisture and bacterial runoff, Marcus wrapped his severely limping right leg in heavy plastic trash bags secured with duct tape. A chronic cough, caused by inhaling campfire soot and damp soil particulate, dominated his breathing.</w:t>
      </w:r>
    </w:p>
    <w:p>
      <w:pPr>
        <w:pStyle w:val="BodyText"/>
      </w:pPr>
      <w:r>
        <w:t xml:space="preserve">Loaded with copper wire coils, propane cylinders, and three wet spare tarps, a modified shopping cart served as Marcus’s survival exoskeleton. These resource inputs were shared with Buster, a four-year-old pit bull mix who exhibited a persistent wet cough and shivering. Because the animal operated as his primary relational anchor, Marcus shared his own scarce food rations with the dog before eating.</w:t>
      </w:r>
    </w:p>
    <w:p>
      <w:pPr>
        <w:pStyle w:val="BodyText"/>
      </w:pPr>
      <w:r>
        <w:t xml:space="preserve">Under the Material Dignity Infrastructure system, Stage 1 mapping requires cataloging these details. To initiate this process, Field Registry Team Alpha descended the east concrete embankment to log GPS coordinates and document the camp’s physical layout. Rather than demanding signatures or immediate intake paperwork, the team mapped the camp’s structural boundaries and registered Marcus as a high-acuity Pipeline C candidate. By registering physical layout and relational anchors first, the mapping phase establishes the baseline parameters needed to coordinate a non-separation transition.</w:t>
      </w:r>
    </w:p>
    <w:p>
      <w:r>
        <w:pict>
          <v:rect style="width:0;height:1.5pt" o:hralign="center" o:hrstd="t" o:hr="t"/>
        </w:pict>
      </w:r>
    </w:p>
    <w:bookmarkEnd w:id="21"/>
    <w:bookmarkStart w:id="22" w:name="chapter-2-the-decompression"/>
    <w:p>
      <w:pPr>
        <w:pStyle w:val="Heading1"/>
      </w:pPr>
      <w:r>
        <w:t xml:space="preserve">Chapter 2: The Decompression</w:t>
      </w:r>
    </w:p>
    <w:p>
      <w:pPr>
        <w:pStyle w:val="FirstParagraph"/>
      </w:pPr>
      <w:r>
        <w:t xml:space="preserve">For recovery to begin, the physical environment must contain external threats. Inside the room, Marcus locked the door from the inside, establishing a physical barrier between his body and the external environment. Except under emergency clinical protocols requiring two-person authorization, staff members possessed no override key. By using acoustic insulation rated at sound transmission class sixty-five, the building reduced hallway and street noise to levels below human hearing. Silence operates as a clinical intervention.</w:t>
      </w:r>
    </w:p>
    <w:p>
      <w:pPr>
        <w:pStyle w:val="BodyText"/>
      </w:pPr>
      <w:r>
        <w:t xml:space="preserve">During the first thirty days, Marcus remained inside the unit while staff delivered meals and nutritional inputs to his door. Through prolonged sleep reaching fourteen hours daily, his nervous system shifted from sympathetic hyperarousal to parasympathetic dominance. Stabilization occurs when the body ceases scanning for predatory cues. To avoid triggering flight responses, staff executed clinical checks through non-invasive biochemical screening and observation. The brain recovers when the body rests.</w:t>
      </w:r>
    </w:p>
    <w:p>
      <w:r>
        <w:pict>
          <v:rect style="width:0;height:1.5pt" o:hralign="center" o:hrstd="t" o:hr="t"/>
        </w:pict>
      </w:r>
    </w:p>
    <w:bookmarkEnd w:id="22"/>
    <w:bookmarkStart w:id="23" w:name="chapter-3-cognitive-resurgence"/>
    <w:p>
      <w:pPr>
        <w:pStyle w:val="Heading1"/>
      </w:pPr>
      <w:r>
        <w:t xml:space="preserve">Chapter 3: Cognitive Resurgence</w:t>
      </w:r>
    </w:p>
    <w:p>
      <w:pPr>
        <w:pStyle w:val="FirstParagraph"/>
      </w:pPr>
      <w:r>
        <w:t xml:space="preserve">Executive function recovers as systemic inflammation recedes. Between day thirty-one and day ninety, Marcus demonstrated improved working memory and emotional regulation during brief clinical interactions. Normalizing cortisol levels allows the prefrontal cortex to rebuild cognitive pathways damaged by street exposure. In the absence of behavioral contracts or institutional demands, he began initiating contact with pod support staff to discuss transitional options. Autonomy returns when pressure ceases.</w:t>
      </w:r>
    </w:p>
    <w:p>
      <w:pPr>
        <w:pStyle w:val="BodyText"/>
      </w:pPr>
      <w:r>
        <w:t xml:space="preserve">By the third month, metabolic markers indicated verified physiological stabilization. Nutrition plans targeted adrenal recovery while clinical teams coordinated medication management for co-occurring conditions. Instead of forcing rapid community integration, the model allowed Marcus to observe the shared kitchen and common areas through a video feed. Safe observation builds social confidence. When the ninety-day window concluded, he requested transfer to a permanent residential pod.</w:t>
      </w:r>
    </w:p>
    <w:p>
      <w:r>
        <w:pict>
          <v:rect style="width:0;height:1.5pt" o:hralign="center" o:hrstd="t" o:hr="t"/>
        </w:pict>
      </w:r>
    </w:p>
    <w:bookmarkEnd w:id="23"/>
    <w:bookmarkStart w:id="24" w:name="chapter-4-pod-integration"/>
    <w:p>
      <w:pPr>
        <w:pStyle w:val="Heading1"/>
      </w:pPr>
      <w:r>
        <w:t xml:space="preserve">Chapter 4: Pod Integration</w:t>
      </w:r>
    </w:p>
    <w:p>
      <w:pPr>
        <w:pStyle w:val="FirstParagraph"/>
      </w:pPr>
      <w:r>
        <w:t xml:space="preserve">Social reintegration requires scaling the community to human limits. After completing Phase Zero, Marcus entered Pod Twelve, a residential floor hosting one hundred fifty residents who share cooking, laundry, and dining spaces. Under Dunbar cognitive specifications, this limit matches the capacity for human relationship maintenance. To reduce social anxiety, the pod steward introduced Marcus to his immediate suite neighbors before presenting him to the larger group. By routing daily interactions through small, consistent clusters, the design avoids the stress of congregate halls. Community scales through small groups.</w:t>
      </w:r>
    </w:p>
    <w:p>
      <w:pPr>
        <w:pStyle w:val="BodyText"/>
      </w:pPr>
      <w:r>
        <w:t xml:space="preserve">Stewardship develops through shared operational responsibility. Within Pod Twelve, Marcus assumed maintenance duties for the communal kitchen, establishing routine and accountability. Participating in weekly pod councils gave Marcus a voice in resolving community conflicts and proposing physical improvements to shared spaces. Through cooperative management, residents rebuild the social agency that street survival had dismantled. Cooperation restores agency.</w:t>
      </w:r>
    </w:p>
    <w:p>
      <w:r>
        <w:pict>
          <v:rect style="width:0;height:1.5pt" o:hralign="center" o:hrstd="t" o:hr="t"/>
        </w:pict>
      </w:r>
    </w:p>
    <w:bookmarkEnd w:id="24"/>
    <w:bookmarkStart w:id="25" w:name="Xca13553937d95910a7bdc9fa9cdc5323038f63c"/>
    <w:p>
      <w:pPr>
        <w:pStyle w:val="Heading1"/>
      </w:pPr>
      <w:r>
        <w:t xml:space="preserve">Chapter 5: Graduation and Autonomic Agency</w:t>
      </w:r>
    </w:p>
    <w:p>
      <w:pPr>
        <w:pStyle w:val="FirstParagraph"/>
      </w:pPr>
      <w:r>
        <w:t xml:space="preserve">Graduation constitutes the final transition to independent living. After ten months of residency, Marcus demonstrated stabilized metabolic markers, consistent social engagement, and recovered executive function. To transition to independent housing, he worked with case managers to secure an apartment using state-funded vouchers. By pacing the intervention through biological milestones, the model achieved permanent stability. Recovery requires time.</w:t>
      </w:r>
    </w:p>
    <w:p>
      <w:pPr>
        <w:pStyle w:val="BodyText"/>
      </w:pPr>
      <w:r>
        <w:t xml:space="preserve">Marcus exited the Bunker Hill tower as a self-regulating individual capable of navigating social and economic environments. Confirming this biological thesis, the case study demonstrates that resolving long-term homelessness requires a sequence of physiological stabilization and architectural interventions rather than punitive behavioral contracts. By establishing material dignity as a public utility, the municipality terminates the cycle of street-level biological decay. Systemic change follows physical infrastructure.</w:t>
      </w:r>
    </w:p>
    <w:p>
      <w:r>
        <w:pict>
          <v:rect style="width:0;height:1.5pt" o:hralign="center" o:hrstd="t" o:hr="t"/>
        </w:pict>
      </w:r>
    </w:p>
    <w:bookmarkEnd w:id="25"/>
    <w:bookmarkStart w:id="31" w:name="citations-and-sources"/>
    <w:p>
      <w:pPr>
        <w:pStyle w:val="Heading1"/>
      </w:pPr>
      <w:r>
        <w:t xml:space="preserve">Citations and Sources</w:t>
      </w:r>
    </w:p>
    <w:bookmarkStart w:id="26" w:name="chapter-one-the-extraction"/>
    <w:p>
      <w:pPr>
        <w:pStyle w:val="Heading2"/>
      </w:pPr>
      <w:r>
        <w:t xml:space="preserve">Chapter One: The Extraction</w:t>
      </w:r>
    </w:p>
    <w:p>
      <w:pPr>
        <w:pStyle w:val="FirstParagraph"/>
      </w:pPr>
      <w:r>
        <w:t xml:space="preserve">California Department of Health Care Services.</w:t>
      </w:r>
      <w:r>
        <w:t xml:space="preserve"> </w:t>
      </w:r>
      <w:r>
        <w:rPr>
          <w:iCs/>
          <w:i/>
        </w:rPr>
        <w:t xml:space="preserve">CalAIM Enhanced Care Management and Community Supports Operational Guide</w:t>
      </w:r>
      <w:r>
        <w:t xml:space="preserve">. Sacramento: DHCS, 2024.</w:t>
      </w:r>
    </w:p>
    <w:p>
      <w:pPr>
        <w:pStyle w:val="BodyText"/>
      </w:pPr>
      <w:r>
        <w:t xml:space="preserve">National Alliance to End Homelessness.</w:t>
      </w:r>
      <w:r>
        <w:t xml:space="preserve"> </w:t>
      </w:r>
      <w:r>
        <w:rPr>
          <w:iCs/>
          <w:i/>
        </w:rPr>
        <w:t xml:space="preserve">The Business Case for Ending Homelessness: Cost Savings of Permanent Supportive Housing</w:t>
      </w:r>
      <w:r>
        <w:t xml:space="preserve">. Washington, D.C.: NAEH, 2023.</w:t>
      </w:r>
    </w:p>
    <w:bookmarkEnd w:id="26"/>
    <w:bookmarkStart w:id="27" w:name="chapter-two-the-decompression"/>
    <w:p>
      <w:pPr>
        <w:pStyle w:val="Heading2"/>
      </w:pPr>
      <w:r>
        <w:t xml:space="preserve">Chapter Two: The Decompression</w:t>
      </w:r>
    </w:p>
    <w:p>
      <w:pPr>
        <w:pStyle w:val="FirstParagraph"/>
      </w:pPr>
      <w:r>
        <w:t xml:space="preserve">Porges, Stephen W.</w:t>
      </w:r>
      <w:r>
        <w:t xml:space="preserve"> </w:t>
      </w:r>
      <w:r>
        <w:t xml:space="preserve">“</w:t>
      </w:r>
      <w:r>
        <w:t xml:space="preserve">Orienting in a Defensive World: Mammalian Modifications of our Evolutionary Heritage. A Polyvagal Theory.</w:t>
      </w:r>
      <w:r>
        <w:t xml:space="preserve">”</w:t>
      </w:r>
      <w:r>
        <w:t xml:space="preserve"> </w:t>
      </w:r>
      <w:r>
        <w:rPr>
          <w:iCs/>
          <w:i/>
        </w:rPr>
        <w:t xml:space="preserve">Psychophysiology</w:t>
      </w:r>
      <w:r>
        <w:t xml:space="preserve"> </w:t>
      </w:r>
      <w:r>
        <w:t xml:space="preserve">32, no. 4 (1995): 301–318.</w:t>
      </w:r>
    </w:p>
    <w:bookmarkEnd w:id="27"/>
    <w:bookmarkStart w:id="28" w:name="chapter-three-cognitive-resurgence"/>
    <w:p>
      <w:pPr>
        <w:pStyle w:val="Heading2"/>
      </w:pPr>
      <w:r>
        <w:t xml:space="preserve">Chapter Three: Cognitive Resurgence</w:t>
      </w:r>
    </w:p>
    <w:p>
      <w:pPr>
        <w:pStyle w:val="FirstParagraph"/>
      </w:pPr>
      <w:r>
        <w:t xml:space="preserve">California State Auditor.</w:t>
      </w:r>
      <w:r>
        <w:t xml:space="preserve"> </w:t>
      </w:r>
      <w:r>
        <w:rPr>
          <w:iCs/>
          <w:i/>
        </w:rPr>
        <w:t xml:space="preserve">Homelessness in California: The State Must Do More to Assess the Cost-Effectiveness of Its Programs</w:t>
      </w:r>
      <w:r>
        <w:t xml:space="preserve">. Sacramento: CSA, 2024.</w:t>
      </w:r>
    </w:p>
    <w:bookmarkEnd w:id="28"/>
    <w:bookmarkStart w:id="29" w:name="chapter-four-pod-integration"/>
    <w:p>
      <w:pPr>
        <w:pStyle w:val="Heading2"/>
      </w:pPr>
      <w:r>
        <w:t xml:space="preserve">Chapter Four: Pod Integration</w:t>
      </w:r>
    </w:p>
    <w:p>
      <w:pPr>
        <w:pStyle w:val="FirstParagraph"/>
      </w:pPr>
      <w:r>
        <w:t xml:space="preserve">Dunbar, Robin I. M.</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w:t>
      </w:r>
    </w:p>
    <w:bookmarkEnd w:id="29"/>
    <w:bookmarkStart w:id="30" w:name="X1b08ba527dba495334fb89cfad265984809c86f"/>
    <w:p>
      <w:pPr>
        <w:pStyle w:val="Heading2"/>
      </w:pPr>
      <w:r>
        <w:t xml:space="preserve">Chapter Five: Graduation and Autonomic Agency</w:t>
      </w:r>
    </w:p>
    <w:p>
      <w:pPr>
        <w:pStyle w:val="FirstParagraph"/>
      </w:pPr>
      <w:r>
        <w:t xml:space="preserve">Culhane, Dennis P., Stephen Metraux, and Trevor Hadley.</w:t>
      </w:r>
      <w:r>
        <w:t xml:space="preserve"> </w:t>
      </w:r>
      <w:r>
        <w:t xml:space="preserve">“</w:t>
      </w:r>
      <w:r>
        <w:t xml:space="preserve">Public Service Reductions Associated with Placement of Homeless Persons with Severe Mental Illness in Supportive Housing.</w:t>
      </w:r>
      <w:r>
        <w:t xml:space="preserve">”</w:t>
      </w:r>
      <w:r>
        <w:t xml:space="preserve"> </w:t>
      </w:r>
      <w:r>
        <w:rPr>
          <w:iCs/>
          <w:i/>
        </w:rPr>
        <w:t xml:space="preserve">Housing Policy Debate</w:t>
      </w:r>
      <w:r>
        <w:t xml:space="preserve"> </w:t>
      </w:r>
      <w:r>
        <w:t xml:space="preserve">13, no. 1 (2002): 107–163.</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2026-06-14T02:17:01Z</dcterms:created>
  <dcterms:modified xsi:type="dcterms:W3CDTF">2026-06-14T02:17:01Z</dcterms:modified>
</cp:coreProperties>
</file>

<file path=docProps/custom.xml><?xml version="1.0" encoding="utf-8"?>
<Properties xmlns="http://schemas.openxmlformats.org/officeDocument/2006/custom-properties" xmlns:vt="http://schemas.openxmlformats.org/officeDocument/2006/docPropsVTypes"/>
</file>