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Converting theoretical homelessness resolution frameworks into investable real estate assets requires a precise financial specification to solve the first-mover capital risk gap. Capital markets require the Material Dignity Infrastructure to be translated into the language of underwriting and risk allocation before committing funds.</w:t>
      </w:r>
    </w:p>
    <w:p>
      <w:pPr>
        <w:pStyle w:val="BodyText"/>
      </w:pPr>
      <w:r>
        <w:t xml:space="preserve">A 220 million USD blended capital architecture (40% catalytic equity, 60% senior debt) acquires distressed commercial real estate beneath replacement cost and deploys relational stabilization protocols. Operation generates permanent revenue through California Advancing and Innovating Medi-Cal (CalAIM) billing. The Tripartite Coalition governance structure legally isolates physical assets within a Delaware Statutory Trust, transferring operational execution to a California Public Benefit Corporation. The resulting prototype converts sunk municipal emergency costs into collateralized, cash-flowing asset equity, eliminating first-mover demonstration risk and unlocking autonomous institutional replication.</w:t>
      </w:r>
    </w:p>
    <w:p>
      <w:r>
        <w:pict>
          <v:rect style="width:0;height:1.5pt" o:hralign="center" o:hrstd="t" o:hr="t"/>
        </w:pict>
      </w:r>
    </w:p>
    <w:bookmarkEnd w:id="20"/>
    <w:bookmarkStart w:id="21" w:name="chapter-1-the-first-mover-problem"/>
    <w:p>
      <w:pPr>
        <w:pStyle w:val="Heading1"/>
      </w:pPr>
      <w:r>
        <w:t xml:space="preserve">Chapter 1: The First-Mover Problem</w:t>
      </w:r>
    </w:p>
    <w:p>
      <w:pPr>
        <w:pStyle w:val="FirstParagraph"/>
      </w:pPr>
      <w:r>
        <w:t xml:space="preserve">Every self-executing replication mechanism requires a physical demonstration that precedes replication. Capital markets do not replicate theoretical models. They replicate observed financial performance. The MDI architecture specifies that once One California Plaza demonstrates per capita cost reductions exceeding fifty thousand dollars at the three-hundred-sixty-five-day measurement window, institutional capital replicates the mechanism autonomously through standard real estate investment channels. That replication sequence is credible because it relies on proven capital market behavior rather than philanthropic goodwill or legislative appropriation.</w:t>
      </w:r>
    </w:p>
    <w:p>
      <w:pPr>
        <w:pStyle w:val="BodyText"/>
      </w:pPr>
      <w:r>
        <w:t xml:space="preserve">The replication sequence contains a structural vulnerability at origin. The prototype must produce the financial results before those results can trigger replication. Someone must fund the demonstration before the demonstration funds everything that follows. That first actor cannot be responding to proven financial viability because the proof does not yet exist. The first actor accepts demonstration risk in exchange for a structured return that compensates for the absence of operating history.</w:t>
      </w:r>
    </w:p>
    <w:p>
      <w:pPr>
        <w:pStyle w:val="BodyText"/>
      </w:pPr>
      <w:r>
        <w:t xml:space="preserve">This is not a social movement problem. Social movements generate political pressure; they do not capitalize real estate acquisitions. This is not a government procurement problem. Municipal procurement channels are structurally captured by incumbent service providers whose institutional survival depends on preserving existing funding architectures. This is a venture capital problem with a specific solution: a blended capital stack that layers catalytic first-loss equity beneath concessionary senior debt, producing a risk-adjusted return profile acceptable to infrastructure-class investors while absorbing the volatility of an unproven operating model.</w:t>
      </w:r>
    </w:p>
    <w:p>
      <w:r>
        <w:pict>
          <v:rect style="width:0;height:1.5pt" o:hralign="center" o:hrstd="t" o:hr="t"/>
        </w:pict>
      </w:r>
    </w:p>
    <w:bookmarkEnd w:id="21"/>
    <w:bookmarkStart w:id="22" w:name="X7e875986fd54144ac41c78124da7698f3f4c0a4"/>
    <w:p>
      <w:pPr>
        <w:pStyle w:val="Heading1"/>
      </w:pPr>
      <w:r>
        <w:t xml:space="preserve">Chapter 2: Capital Stack and Yield Mechanics</w:t>
      </w:r>
    </w:p>
    <w:p>
      <w:pPr>
        <w:pStyle w:val="FirstParagraph"/>
      </w:pPr>
      <w:r>
        <w:t xml:space="preserve">To build the prototype, we must look to downtown Los Angeles. One California Plaza stands as a monument to commercial real estate precarity. Constructed in 1985 as Class A office space, the tower now faces the reality of thirty percent vacancy rates, driven by remote work cycles and deferred capital expenditure. What was once premium office space is now distressed inventory trading at steep discounts beneath peak valuation and replacement cost.</w:t>
      </w:r>
    </w:p>
    <w:p>
      <w:pPr>
        <w:pStyle w:val="BodyText"/>
      </w:pPr>
      <w:r>
        <w:t xml:space="preserve">The acquisition targets a distressed entry price not exceeding one hundred fifty dollars per rentable square foot. For a 1.05 million square foot tower, this targets a purchase price of one hundred fifty-seven million five hundred thousand dollars. This entry price provides an immediate capital cushion relative to replacement costs, which exceed six hundred dollars per square foot in the downtown core. The discount absorbs the specialized retrofitting required to convert commercial floor plates into residential pods.</w:t>
      </w:r>
    </w:p>
    <w:p>
      <w:pPr>
        <w:pStyle w:val="BodyText"/>
      </w:pPr>
      <w:r>
        <w:rPr>
          <w:bCs/>
          <w:b/>
        </w:rPr>
        <w:t xml:space="preserve">Conversion Scope.</w:t>
      </w:r>
      <w:r>
        <w:t xml:space="preserve"> </w:t>
      </w:r>
      <w:r>
        <w:t xml:space="preserve">The physical conversion repurposes commercial floor plates into clustered residential pods. Each pod houses four to six individuals in private rooms organized around shared communal space. Acoustic insulation, high-durability fixtures, secured storage, and pet accommodation constitute the primary retrofit requirements. Commercial HVAC, electrical, and plumbing infrastructure requires adaptation rather than replacement. Estimated conversion cost ranges from forty to sixty dollars per square foot, totaling forty-two million to sixty-three million dollars across the full building footprint.</w:t>
      </w:r>
    </w:p>
    <w:p>
      <w:pPr>
        <w:pStyle w:val="BodyText"/>
      </w:pPr>
      <w:r>
        <w:rPr>
          <w:bCs/>
          <w:b/>
        </w:rPr>
        <w:t xml:space="preserve">Total Capitalization.</w:t>
      </w:r>
      <w:r>
        <w:t xml:space="preserve"> </w:t>
      </w:r>
      <w:r>
        <w:t xml:space="preserve">Acquisition plus conversion produces a base capitalization requirement between one hundred ninety-nine million five hundred thousand and two hundred twenty million five hundred thousand dollars. Adding a capitalized interest reserve of ten million five hundred sixty thousand dollars to pre-fund twelve months of senior debt service during the ramp-up period brings total capitalization to two hundred twenty million dollars.</w:t>
      </w:r>
    </w:p>
    <w:p>
      <w:pPr>
        <w:pStyle w:val="BodyText"/>
      </w:pPr>
      <w:r>
        <w:t xml:space="preserve">To fund this acquisition, the capital stack layers two distinct tranches with structurally separated risk profiles:</w:t>
      </w:r>
    </w:p>
    <w:p>
      <w:pPr>
        <w:pStyle w:val="BodyText"/>
      </w:pPr>
      <w:r>
        <w:rPr>
          <w:bCs/>
          <w:b/>
        </w:rPr>
        <w:t xml:space="preserve">Tranche A: First-Loss Catalytic Equity (40%).</w:t>
      </w:r>
      <w:r>
        <w:t xml:space="preserve"> </w:t>
      </w:r>
      <w:r>
        <w:t xml:space="preserve">Eighty-eight million dollars. Sourced through Program-Related Investments from philanthropic endowments, mission-driven family offices, and impact-first institutional allocators. This tranche absorbs one hundred percent of first-loss exposure during the ramp-up period. Return is subordinated to Tranche B and targets a nominal four percent annual yield, deferred until Month 24 and payable from operating surplus only after senior debt service is satisfied. The catalytic tranche accepts below-market return in exchange for structural proof that the MDI model converts distressed commercial real estate into stabilized permanent supportive housing at scale.</w:t>
      </w:r>
    </w:p>
    <w:p>
      <w:pPr>
        <w:pStyle w:val="BodyText"/>
      </w:pPr>
      <w:r>
        <w:rPr>
          <w:bCs/>
          <w:b/>
        </w:rPr>
        <w:t xml:space="preserve">Tranche B: Senior Concessionary Debt (60%).</w:t>
      </w:r>
      <w:r>
        <w:t xml:space="preserve"> </w:t>
      </w:r>
      <w:r>
        <w:t xml:space="preserve">One hundred thirty-two million dollars. Sourced through Community Development Financial Institutions, New Markets Tax Credit allocations, and mission-aligned commercial lenders. Senior position in the capital stack with first claim on all operating revenue after direct operating expenses. Target yield of eight percent annual return. Debt service coverage ratio floors at 1.25x, meaning net operating income must exceed debt service obligations by twenty-five percent before any distributions flow to Tranche A equity holders.</w:t>
      </w:r>
    </w:p>
    <w:p>
      <w:r>
        <w:pict>
          <v:rect style="width:0;height:1.5pt" o:hralign="center" o:hrstd="t" o:hr="t"/>
        </w:pict>
      </w:r>
    </w:p>
    <w:bookmarkEnd w:id="22"/>
    <w:bookmarkStart w:id="23" w:name="Xe89384950c0143ae485c3362e883be9b3c22691"/>
    <w:p>
      <w:pPr>
        <w:pStyle w:val="Heading1"/>
      </w:pPr>
      <w:r>
        <w:t xml:space="preserve">Chapter 3: Legal Architecture and Governance</w:t>
      </w:r>
    </w:p>
    <w:p>
      <w:pPr>
        <w:pStyle w:val="FirstParagraph"/>
      </w:pPr>
      <w:r>
        <w:t xml:space="preserve">The MDI framework explicitly rejects municipal procurement dependency. To preserve operational autonomy, the Tripartite Coalition establishes governance utilizing two distinct corporate entities to isolate liability from physical assets.</w:t>
      </w:r>
    </w:p>
    <w:p>
      <w:pPr>
        <w:pStyle w:val="BodyText"/>
      </w:pPr>
      <w:r>
        <w:t xml:space="preserve">Entity One is a Delaware Statutory Trust (DST) serving as absolute title holder for the physical real estate. It employs zero operational staff. This absolute separation guarantees that operational liabilities cannot attach to the physical real estate.</w:t>
      </w:r>
    </w:p>
    <w:p>
      <w:pPr>
        <w:pStyle w:val="BodyText"/>
      </w:pPr>
      <w:r>
        <w:t xml:space="preserve">Entity Two is a California Public Benefit Corporation (PBC) serving as exclusive operational manager and clinical service coordinator. The PBC leases the facility from the DST. The PBC absorbs all operational liability. In the event of catastrophic operational failure, the PBC can be dissolved without jeopardizing the physical real estate held by the DST.</w:t>
      </w:r>
    </w:p>
    <w:p>
      <w:pPr>
        <w:pStyle w:val="BodyText"/>
      </w:pPr>
      <w:r>
        <w:rPr>
          <w:bCs/>
          <w:b/>
        </w:rPr>
        <w:t xml:space="preserve">Structural Protection.</w:t>
      </w:r>
      <w:r>
        <w:t xml:space="preserve"> </w:t>
      </w:r>
      <w:r>
        <w:t xml:space="preserve">The Delaware Statutory Trust holds property title. The California Public Benefit Corporation operates the facility under a Master Lease Agreement. If the PBC defaults on lease obligations or enters insolvency, the lease reassignment clause automatically transfers operational authority to a pre-designated successor operator. The physical asset never enters bankruptcy proceedings. Tranche B debt holders retain their secured position against the real property regardless of operational performance.</w:t>
      </w:r>
    </w:p>
    <w:p>
      <w:r>
        <w:pict>
          <v:rect style="width:0;height:1.5pt" o:hralign="center" o:hrstd="t" o:hr="t"/>
        </w:pict>
      </w:r>
    </w:p>
    <w:bookmarkEnd w:id="23"/>
    <w:bookmarkStart w:id="24" w:name="chapter-4-sovereign-revenue-mechanics"/>
    <w:p>
      <w:pPr>
        <w:pStyle w:val="Heading1"/>
      </w:pPr>
      <w:r>
        <w:t xml:space="preserve">Chapter 4: Sovereign Revenue Mechanics</w:t>
      </w:r>
    </w:p>
    <w:p>
      <w:pPr>
        <w:pStyle w:val="FirstParagraph"/>
      </w:pPr>
      <w:r>
        <w:t xml:space="preserve">The revenue model replaces commercial tenant rent with Medi-Cal managed care capitation. California’s CalAIM initiative authorizes managed care plans to fund housing-related services through Enhanced Care Management and Community Supports billing codes. These codes provide the operational revenue stream that services senior debt and generates stabilized yield.</w:t>
      </w:r>
    </w:p>
    <w:p>
      <w:pPr>
        <w:pStyle w:val="BodyText"/>
      </w:pPr>
      <w:r>
        <w:rPr>
          <w:bCs/>
          <w:b/>
        </w:rPr>
        <w:t xml:space="preserve">Revenue Line 1: Housing Transition Navigation Services.</w:t>
      </w:r>
      <w:r>
        <w:t xml:space="preserve"> </w:t>
      </w:r>
      <w:r>
        <w:t xml:space="preserve">Billing code H0043 with modifier U6. Reimburses street-level outreach, trust accumulation, demographic enrollment, and pre-placement coordination. Per-member-per-month rate structure. Active during Phase Zero before physical placement. Estimated annual revenue per active outreach case: eight thousand four hundred dollars.</w:t>
      </w:r>
    </w:p>
    <w:p>
      <w:pPr>
        <w:pStyle w:val="BodyText"/>
      </w:pPr>
      <w:r>
        <w:rPr>
          <w:bCs/>
          <w:b/>
        </w:rPr>
        <w:t xml:space="preserve">Revenue Line 2: Housing Deposits.</w:t>
      </w:r>
      <w:r>
        <w:t xml:space="preserve"> </w:t>
      </w:r>
      <w:r>
        <w:t xml:space="preserve">Billing code H0044 with modifier U2. Reimburses upfront capital expenditures associated with unit preparation, security deposits, and initial furnishing. One-time billing event per placement. Estimated per-unit revenue: three thousand five hundred dollars.</w:t>
      </w:r>
    </w:p>
    <w:p>
      <w:pPr>
        <w:pStyle w:val="BodyText"/>
      </w:pPr>
      <w:r>
        <w:rPr>
          <w:bCs/>
          <w:b/>
        </w:rPr>
        <w:t xml:space="preserve">Revenue Line 3: Housing Tenancy and Sustaining Services.</w:t>
      </w:r>
      <w:r>
        <w:t xml:space="preserve"> </w:t>
      </w:r>
      <w:r>
        <w:t xml:space="preserve">Billing code T2050 with modifier U6. Reimburses ongoing tenancy support, relational co-regulation, pod-steward coordination, and crisis de-escalation. Per-member-per-month rate structure. Active for twenty-four months post-placement. Estimated annual revenue per occupied unit: fourteen thousand four hundred dollars.</w:t>
      </w:r>
    </w:p>
    <w:p>
      <w:pPr>
        <w:pStyle w:val="BodyText"/>
      </w:pPr>
      <w:r>
        <w:rPr>
          <w:bCs/>
          <w:b/>
        </w:rPr>
        <w:t xml:space="preserve">Revenue Line 4: Recuperative Care.</w:t>
      </w:r>
      <w:r>
        <w:t xml:space="preserve"> </w:t>
      </w:r>
      <w:r>
        <w:t xml:space="preserve">Billing code T2033 with modifier U6. Reimburses medical respite services for individuals presenting acute metabolic instability, severe withdrawal, or sustained dorsal-vagal shutdown exceeding seventy-two hours. Higher per-diem rate than standard tenancy support. Isolated billing channel prevents acute stabilization costs from depleting the primary housing revenue pool. Estimated annual revenue per recuperative care bed: twenty-one thousand nine hundred dollars.</w:t>
      </w:r>
    </w:p>
    <w:p>
      <w:pPr>
        <w:pStyle w:val="BodyText"/>
      </w:pPr>
      <w:r>
        <w:rPr>
          <w:bCs/>
          <w:b/>
        </w:rPr>
        <w:t xml:space="preserve">Blended Revenue Per Occupied Unit.</w:t>
      </w:r>
      <w:r>
        <w:t xml:space="preserve"> </w:t>
      </w:r>
      <w:r>
        <w:t xml:space="preserve">At stabilized occupancy, the weighted average annual revenue per occupied unit across all four billing lines equals approximately eighteen thousand two hundred dollars. This figure excludes Enhanced Care Management capitation, which layers additional per-member-per-month revenue for individuals enrolled in the highest-acuity population tiers.</w:t>
      </w:r>
    </w:p>
    <w:p>
      <w:pPr>
        <w:pStyle w:val="BodyText"/>
      </w:pPr>
      <w:r>
        <w:t xml:space="preserve">The occupancy ramp reflects the biological reality that trust accumulation and autonomic stabilization require time. Filling units faster than relational protocols permit degrades retention outcomes and produces the same revolving-door failure that characterises existing shelter models.</w:t>
      </w:r>
    </w:p>
    <w:p>
      <w:pPr>
        <w:pStyle w:val="BodyText"/>
      </w:pPr>
      <w:r>
        <w:rPr>
          <w:bCs/>
          <w:b/>
        </w:rPr>
        <w:t xml:space="preserve">Months 1 through 6 (Ramp-up).</w:t>
      </w:r>
      <w:r>
        <w:t xml:space="preserve"> </w:t>
      </w:r>
      <w:r>
        <w:t xml:space="preserve">Target occupancy: thirty percent of converted capacity. Priority intake channels Recuperative Care activations, capturing individuals presenting acute physiological instability. Revenue composition skews toward higher-rate T2033 billing. Estimated gross revenue: thirteen million one hundred forty thousand dollars annualized.</w:t>
      </w:r>
    </w:p>
    <w:p>
      <w:pPr>
        <w:pStyle w:val="BodyText"/>
      </w:pPr>
      <w:r>
        <w:rPr>
          <w:bCs/>
          <w:b/>
        </w:rPr>
        <w:t xml:space="preserve">Months 7 through 18 (Stabilization).</w:t>
      </w:r>
      <w:r>
        <w:t xml:space="preserve"> </w:t>
      </w:r>
      <w:r>
        <w:t xml:space="preserve">Target occupancy: seventy-five percent of converted capacity. Billing composition transitions toward standard Housing Tenancy and Sustaining Services as acute cases stabilize and step down to community pods. Estimated gross revenue: twenty-eight million three hundred fifty thousand dollars annualized.</w:t>
      </w:r>
    </w:p>
    <w:p>
      <w:pPr>
        <w:pStyle w:val="BodyText"/>
      </w:pPr>
      <w:r>
        <w:rPr>
          <w:bCs/>
          <w:b/>
        </w:rPr>
        <w:t xml:space="preserve">Months 19 through 36 (Maturity).</w:t>
      </w:r>
      <w:r>
        <w:t xml:space="preserve"> </w:t>
      </w:r>
      <w:r>
        <w:t xml:space="preserve">Target occupancy: ninety-five percent of converted capacity. Revenue composition fully stabilized across all four billing lines. Estimated gross revenue: thirty-five million nine hundred ten thousand dollars annualized.</w:t>
      </w:r>
    </w:p>
    <w:p>
      <w:pPr>
        <w:pStyle w:val="BodyText"/>
      </w:pPr>
      <w:r>
        <w:rPr>
          <w:bCs/>
          <w:b/>
        </w:rPr>
        <w:t xml:space="preserve">Operating Expenses.</w:t>
      </w:r>
      <w:r>
        <w:t xml:space="preserve"> </w:t>
      </w:r>
      <w:r>
        <w:t xml:space="preserve">Direct operating costs including staffing, facilities maintenance, insurance, and administrative overhead are estimated at sixty percent of gross revenue at maturity, producing net operating income of thirteen million eight hundred thirty-two thousand dollars annually.</w:t>
      </w:r>
    </w:p>
    <w:p>
      <w:pPr>
        <w:pStyle w:val="BodyText"/>
      </w:pPr>
      <w:r>
        <w:rPr>
          <w:bCs/>
          <w:b/>
        </w:rPr>
        <w:t xml:space="preserve">Debt Service.</w:t>
      </w:r>
      <w:r>
        <w:t xml:space="preserve"> </w:t>
      </w:r>
      <w:r>
        <w:t xml:space="preserve">Senior debt service on one hundred thirty-two million dollars at eight percent annual yield requires ten million five hundred sixty thousand dollars annually. Net operating income at maturity covers senior debt service at a 1.31x coverage ratio, exceeding the 1.25x floor by six percentage points.</w:t>
      </w:r>
    </w:p>
    <w:p>
      <w:pPr>
        <w:pStyle w:val="BodyText"/>
      </w:pPr>
      <w:r>
        <w:rPr>
          <w:bCs/>
          <w:b/>
        </w:rPr>
        <w:t xml:space="preserve">Equity Return.</w:t>
      </w:r>
      <w:r>
        <w:t xml:space="preserve"> </w:t>
      </w:r>
      <w:r>
        <w:t xml:space="preserve">Residual operating surplus after senior debt service equals three million two hundred seventy-two thousand dollars annually, producing a nominal return of 3.7 percent on eighty-eight million dollars of catalytic equity. This falls marginally below the four percent target yield; layering Enhanced Care Management capitation revenue, excluded from the base model as conservative upside, closes the gap.</w:t>
      </w:r>
    </w:p>
    <w:p>
      <w:r>
        <w:pict>
          <v:rect style="width:0;height:1.5pt" o:hralign="center" o:hrstd="t" o:hr="t"/>
        </w:pict>
      </w:r>
    </w:p>
    <w:bookmarkEnd w:id="24"/>
    <w:bookmarkStart w:id="37" w:name="chapter-5-structural-risk-mitigation"/>
    <w:p>
      <w:pPr>
        <w:pStyle w:val="Heading1"/>
      </w:pPr>
      <w:r>
        <w:t xml:space="preserve">Chapter 5: Structural Risk Mitigation</w:t>
      </w:r>
    </w:p>
    <w:p>
      <w:pPr>
        <w:pStyle w:val="FirstParagraph"/>
      </w:pPr>
      <w:r>
        <w:t xml:space="preserve">To attract institutional capital, we must isolate every point of risk. Tranche A catalytic equity absorbs initial demonstration risk. Once the day three-hundred-sixty-five performance metrics validate the CalAIM revenue stream, the demonstration risk is resolved, allowing traditional refinancing of the senior debt.</w:t>
      </w:r>
    </w:p>
    <w:p>
      <w:pPr>
        <w:pStyle w:val="BodyText"/>
      </w:pPr>
      <w:r>
        <w:t xml:space="preserve">The tripartite legal structure mitigates operational liability by isolating the physical asset within the Delaware Statutory Trust. Political risk is neutralized because the facility operates independently of municipal appropriations; revenue flows directly from managed care organizations to the operating corporation. Debt service volatility is mitigated by the capitalized interest reserve, ensuring interest payments are met even during occupancy ramp-up.</w:t>
      </w:r>
    </w:p>
    <w:p>
      <w:pPr>
        <w:pStyle w:val="BodyText"/>
      </w:pPr>
      <w:r>
        <w:t xml:space="preserve">Performance validation operates across three clear measurement windows:</w:t>
      </w:r>
    </w:p>
    <w:p>
      <w:pPr>
        <w:pStyle w:val="BodyText"/>
      </w:pPr>
      <w:r>
        <w:t xml:space="preserve">At Day 90, we measure residential retention against the initial cohort, targeting eighty-five percent. This validates the biological intake thesis.</w:t>
      </w:r>
    </w:p>
    <w:p>
      <w:pPr>
        <w:pStyle w:val="BodyText"/>
      </w:pPr>
      <w:r>
        <w:t xml:space="preserve">At Day 180, we measure blended per-unit revenue against projections, targeting variance under ten percent. This validates the CalAIM billing architecture.</w:t>
      </w:r>
    </w:p>
    <w:p>
      <w:pPr>
        <w:pStyle w:val="BodyText"/>
      </w:pPr>
      <w:r>
        <w:t xml:space="preserve">At Day 365, we measure the per capita avoided public cost, targeting a verified reduction exceeding fifty thousand dollars. This is the replication trigger.</w:t>
      </w:r>
    </w:p>
    <w:p>
      <w:pPr>
        <w:pStyle w:val="BodyText"/>
      </w:pPr>
      <w:r>
        <w:t xml:space="preserve">When a county supervisor or a real estate investor observes that a single converted tower eliminates one hundred million dollars in annual public waste while generating an eight percent yield on secured debt, the decision to replicate ceases to be philanthropic. It becomes fiduciary.</w:t>
      </w:r>
    </w:p>
    <w:bookmarkStart w:id="25" w:name="conclusion"/>
    <w:p>
      <w:pPr>
        <w:pStyle w:val="Heading2"/>
      </w:pPr>
      <w:r>
        <w:t xml:space="preserve">Conclusion</w:t>
      </w:r>
    </w:p>
    <w:p>
      <w:pPr>
        <w:pStyle w:val="FirstParagraph"/>
      </w:pPr>
      <w:r>
        <w:t xml:space="preserve">Resolving chronic unsheltered homelessness requires a complete theoretical, operational, and financial architecture. While previous analyses established the neurological calibration and relational engineering of permanent supportive housing, deployment depends on an investable financial instrument. A blended capital stack of eighty-eight million dollars in catalytic first-loss equity and one hundred thirty-two million dollars in senior concessionary debt acquires and converts One California Plaza into a two-thousand-unit permanent supportive housing facility generating stabilized eight percent yield on senior debt, secured by real property held in an independent trust, and funded through sovereign-backed Medi-Cal billing codes that replace commercial tenant rent.</w:t>
      </w:r>
    </w:p>
    <w:p>
      <w:pPr>
        <w:pStyle w:val="BodyText"/>
      </w:pPr>
      <w:r>
        <w:t xml:space="preserve">The prototype exists to be observed. Once the Day 365 measurement window validates per capita avoided-cost reductions exceeding fifty thousand dollars, the replication argument shifts from prospective to operational. Capital markets replicate proven financial performance. First-mover actors must accept demonstration risk; every subsequent building funds itself.</w:t>
      </w:r>
    </w:p>
    <w:p>
      <w:r>
        <w:pict>
          <v:rect style="width:0;height:1.5pt" o:hralign="center" o:hrstd="t" o:hr="t"/>
        </w:pict>
      </w:r>
    </w:p>
    <w:bookmarkEnd w:id="25"/>
    <w:bookmarkStart w:id="36" w:name="appendix-pro-forma-financial-model"/>
    <w:p>
      <w:pPr>
        <w:pStyle w:val="Heading2"/>
      </w:pPr>
      <w:r>
        <w:t xml:space="preserve">Appendix: Pro Forma Financial Model</w:t>
      </w:r>
    </w:p>
    <w:bookmarkStart w:id="26" w:name="capital-requirements"/>
    <w:p>
      <w:pPr>
        <w:pStyle w:val="Heading3"/>
      </w:pPr>
      <w:r>
        <w:t xml:space="preserve">1. Capital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Acquisition (1.05M sq ft at $150/sq ft)</w:t>
            </w:r>
          </w:p>
        </w:tc>
        <w:tc>
          <w:tcPr/>
          <w:p>
            <w:pPr>
              <w:pStyle w:val="Compact"/>
              <w:jc w:val="left"/>
            </w:pPr>
            <w:r>
              <w:t xml:space="preserve">$157,500,000</w:t>
            </w:r>
          </w:p>
        </w:tc>
        <w:tc>
          <w:tcPr/>
          <w:p>
            <w:pPr>
              <w:pStyle w:val="Compact"/>
              <w:jc w:val="left"/>
            </w:pPr>
            <w:r>
              <w:t xml:space="preserve">Class B/C distressed entry price</w:t>
            </w:r>
          </w:p>
        </w:tc>
      </w:tr>
      <w:tr>
        <w:tc>
          <w:tcPr/>
          <w:p>
            <w:pPr>
              <w:pStyle w:val="Compact"/>
              <w:jc w:val="left"/>
            </w:pPr>
            <w:r>
              <w:t xml:space="preserve">Conversion ($50/sq ft midpoint)</w:t>
            </w:r>
          </w:p>
        </w:tc>
        <w:tc>
          <w:tcPr/>
          <w:p>
            <w:pPr>
              <w:pStyle w:val="Compact"/>
              <w:jc w:val="left"/>
            </w:pPr>
            <w:r>
              <w:t xml:space="preserve">$52,500,000</w:t>
            </w:r>
          </w:p>
        </w:tc>
        <w:tc>
          <w:tcPr/>
          <w:p>
            <w:pPr>
              <w:pStyle w:val="Compact"/>
              <w:jc w:val="left"/>
            </w:pPr>
            <w:r>
              <w:t xml:space="preserve">Acoustic insulation, fixtures, pod configuration</w:t>
            </w:r>
          </w:p>
        </w:tc>
      </w:tr>
      <w:tr>
        <w:tc>
          <w:tcPr/>
          <w:p>
            <w:pPr>
              <w:pStyle w:val="Compact"/>
              <w:jc w:val="left"/>
            </w:pPr>
            <w:r>
              <w:t xml:space="preserve">Capitalized Interest Reserve</w:t>
            </w:r>
          </w:p>
        </w:tc>
        <w:tc>
          <w:tcPr/>
          <w:p>
            <w:pPr>
              <w:pStyle w:val="Compact"/>
              <w:jc w:val="left"/>
            </w:pPr>
            <w:r>
              <w:t xml:space="preserve">$10,080,000</w:t>
            </w:r>
          </w:p>
        </w:tc>
        <w:tc>
          <w:tcPr/>
          <w:p>
            <w:pPr>
              <w:pStyle w:val="Compact"/>
              <w:jc w:val="left"/>
            </w:pPr>
            <w:r>
              <w:t xml:space="preserve">12 months senior debt service pre-funded</w:t>
            </w:r>
          </w:p>
        </w:tc>
      </w:tr>
      <w:tr>
        <w:tc>
          <w:tcPr/>
          <w:p>
            <w:pPr>
              <w:pStyle w:val="Compact"/>
              <w:jc w:val="left"/>
            </w:pPr>
            <w:r>
              <w:rPr>
                <w:bCs/>
                <w:b/>
              </w:rPr>
              <w:t xml:space="preserve">Total Capitalization</w:t>
            </w:r>
          </w:p>
        </w:tc>
        <w:tc>
          <w:tcPr/>
          <w:p>
            <w:pPr>
              <w:pStyle w:val="Compact"/>
              <w:jc w:val="left"/>
            </w:pPr>
            <w:r>
              <w:rPr>
                <w:bCs/>
                <w:b/>
              </w:rPr>
              <w:t xml:space="preserve">$220,080,000</w:t>
            </w:r>
          </w:p>
        </w:tc>
        <w:tc>
          <w:tcPr/>
          <w:p>
            <w:pPr>
              <w:pStyle w:val="Compact"/>
              <w:jc w:val="left"/>
            </w:pPr>
            <w:r>
              <w:t xml:space="preserve">Rounded to $220M for modeling</w:t>
            </w:r>
          </w:p>
        </w:tc>
      </w:tr>
    </w:tbl>
    <w:bookmarkEnd w:id="26"/>
    <w:bookmarkStart w:id="27" w:name="capital-stack"/>
    <w:p>
      <w:pPr>
        <w:pStyle w:val="Heading3"/>
      </w:pPr>
      <w:r>
        <w:t xml:space="preserve">2. Capital Stack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Percentage</w:t>
            </w:r>
          </w:p>
        </w:tc>
        <w:tc>
          <w:tcPr/>
          <w:p>
            <w:pPr>
              <w:pStyle w:val="Compact"/>
              <w:jc w:val="left"/>
            </w:pPr>
            <w:r>
              <w:t xml:space="preserve">Source</w:t>
            </w:r>
          </w:p>
        </w:tc>
        <w:tc>
          <w:tcPr/>
          <w:p>
            <w:pPr>
              <w:pStyle w:val="Compact"/>
              <w:jc w:val="left"/>
            </w:pPr>
            <w:r>
              <w:t xml:space="preserve">Target Yield</w:t>
            </w:r>
          </w:p>
        </w:tc>
      </w:tr>
      <w:tr>
        <w:tc>
          <w:tcPr/>
          <w:p>
            <w:pPr>
              <w:pStyle w:val="Compact"/>
              <w:jc w:val="left"/>
            </w:pPr>
            <w:r>
              <w:t xml:space="preserve">A: Catalytic Equity (First-Loss)</w:t>
            </w:r>
          </w:p>
        </w:tc>
        <w:tc>
          <w:tcPr/>
          <w:p>
            <w:pPr>
              <w:pStyle w:val="Compact"/>
              <w:jc w:val="left"/>
            </w:pPr>
            <w:r>
              <w:t xml:space="preserve">$88,000,000</w:t>
            </w:r>
          </w:p>
        </w:tc>
        <w:tc>
          <w:tcPr/>
          <w:p>
            <w:pPr>
              <w:pStyle w:val="Compact"/>
              <w:jc w:val="left"/>
            </w:pPr>
            <w:r>
              <w:t xml:space="preserve">40%</w:t>
            </w:r>
          </w:p>
        </w:tc>
        <w:tc>
          <w:tcPr/>
          <w:p>
            <w:pPr>
              <w:pStyle w:val="Compact"/>
              <w:jc w:val="left"/>
            </w:pPr>
            <w:r>
              <w:t xml:space="preserve">PRIs, mission-driven family offices</w:t>
            </w:r>
          </w:p>
        </w:tc>
        <w:tc>
          <w:tcPr/>
          <w:p>
            <w:pPr>
              <w:pStyle w:val="Compact"/>
              <w:jc w:val="left"/>
            </w:pPr>
            <w:r>
              <w:t xml:space="preserve">4.0% (deferred to Month 24)</w:t>
            </w:r>
          </w:p>
        </w:tc>
      </w:tr>
      <w:tr>
        <w:tc>
          <w:tcPr/>
          <w:p>
            <w:pPr>
              <w:pStyle w:val="Compact"/>
              <w:jc w:val="left"/>
            </w:pPr>
            <w:r>
              <w:t xml:space="preserve">B: Senior Concessionary Debt</w:t>
            </w:r>
          </w:p>
        </w:tc>
        <w:tc>
          <w:tcPr/>
          <w:p>
            <w:pPr>
              <w:pStyle w:val="Compact"/>
              <w:jc w:val="left"/>
            </w:pPr>
            <w:r>
              <w:t xml:space="preserve">$132,000,000</w:t>
            </w:r>
          </w:p>
        </w:tc>
        <w:tc>
          <w:tcPr/>
          <w:p>
            <w:pPr>
              <w:pStyle w:val="Compact"/>
              <w:jc w:val="left"/>
            </w:pPr>
            <w:r>
              <w:t xml:space="preserve">60%</w:t>
            </w:r>
          </w:p>
        </w:tc>
        <w:tc>
          <w:tcPr/>
          <w:p>
            <w:pPr>
              <w:pStyle w:val="Compact"/>
              <w:jc w:val="left"/>
            </w:pPr>
            <w:r>
              <w:t xml:space="preserve">CDFIs, NMTC, mission-aligned lenders</w:t>
            </w:r>
          </w:p>
        </w:tc>
        <w:tc>
          <w:tcPr/>
          <w:p>
            <w:pPr>
              <w:pStyle w:val="Compact"/>
              <w:jc w:val="left"/>
            </w:pPr>
            <w:r>
              <w:t xml:space="preserve">8.0%</w:t>
            </w:r>
          </w:p>
        </w:tc>
      </w:tr>
      <w:tr>
        <w:tc>
          <w:tcPr/>
          <w:p>
            <w:pPr>
              <w:pStyle w:val="Compact"/>
              <w:jc w:val="left"/>
            </w:pPr>
            <w:r>
              <w:rPr>
                <w:bCs/>
                <w:b/>
              </w:rPr>
              <w:t xml:space="preserve">Total</w:t>
            </w:r>
          </w:p>
        </w:tc>
        <w:tc>
          <w:tcPr/>
          <w:p>
            <w:pPr>
              <w:pStyle w:val="Compact"/>
              <w:jc w:val="left"/>
            </w:pPr>
            <w:r>
              <w:rPr>
                <w:bCs/>
                <w:b/>
              </w:rPr>
              <w:t xml:space="preserve">$220,000,000</w:t>
            </w:r>
          </w:p>
        </w:tc>
        <w:tc>
          <w:tcPr/>
          <w:p>
            <w:pPr>
              <w:pStyle w:val="Compact"/>
              <w:jc w:val="left"/>
            </w:pPr>
            <w:r>
              <w:rPr>
                <w:bCs/>
                <w:b/>
              </w:rPr>
              <w:t xml:space="preserve">100%</w:t>
            </w:r>
          </w:p>
        </w:tc>
        <w:tc>
          <w:tcPr/>
          <w:p>
            <w:pPr>
              <w:pStyle w:val="Compact"/>
            </w:pPr>
          </w:p>
        </w:tc>
        <w:tc>
          <w:tcPr/>
          <w:p>
            <w:pPr>
              <w:pStyle w:val="Compact"/>
            </w:pPr>
          </w:p>
        </w:tc>
      </w:tr>
    </w:tbl>
    <w:bookmarkEnd w:id="27"/>
    <w:bookmarkStart w:id="28" w:name="calaim-revenue-lines-per-unit-annualized"/>
    <w:p>
      <w:pPr>
        <w:pStyle w:val="Heading3"/>
      </w:pPr>
      <w:r>
        <w:t xml:space="preserve">3. CalAIM Revenue Lines (Per Unit, Annualized)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Billing Code</w:t>
            </w:r>
          </w:p>
        </w:tc>
        <w:tc>
          <w:tcPr/>
          <w:p>
            <w:pPr>
              <w:pStyle w:val="Compact"/>
              <w:jc w:val="left"/>
            </w:pPr>
            <w:r>
              <w:t xml:space="preserve">Service</w:t>
            </w:r>
          </w:p>
        </w:tc>
        <w:tc>
          <w:tcPr/>
          <w:p>
            <w:pPr>
              <w:pStyle w:val="Compact"/>
              <w:jc w:val="left"/>
            </w:pPr>
            <w:r>
              <w:t xml:space="preserve">Annual Revenue Per Unit</w:t>
            </w:r>
          </w:p>
        </w:tc>
      </w:tr>
      <w:tr>
        <w:tc>
          <w:tcPr/>
          <w:p>
            <w:pPr>
              <w:pStyle w:val="Compact"/>
              <w:jc w:val="left"/>
            </w:pPr>
            <w:r>
              <w:t xml:space="preserve">H0043 U6</w:t>
            </w:r>
          </w:p>
        </w:tc>
        <w:tc>
          <w:tcPr/>
          <w:p>
            <w:pPr>
              <w:pStyle w:val="Compact"/>
              <w:jc w:val="left"/>
            </w:pPr>
            <w:r>
              <w:t xml:space="preserve">Housing Transition Navigation</w:t>
            </w:r>
          </w:p>
        </w:tc>
        <w:tc>
          <w:tcPr/>
          <w:p>
            <w:pPr>
              <w:pStyle w:val="Compact"/>
              <w:jc w:val="left"/>
            </w:pPr>
            <w:r>
              <w:t xml:space="preserve">$8,400</w:t>
            </w:r>
          </w:p>
        </w:tc>
      </w:tr>
      <w:tr>
        <w:tc>
          <w:tcPr/>
          <w:p>
            <w:pPr>
              <w:pStyle w:val="Compact"/>
              <w:jc w:val="left"/>
            </w:pPr>
            <w:r>
              <w:t xml:space="preserve">H0044 U2</w:t>
            </w:r>
          </w:p>
        </w:tc>
        <w:tc>
          <w:tcPr/>
          <w:p>
            <w:pPr>
              <w:pStyle w:val="Compact"/>
              <w:jc w:val="left"/>
            </w:pPr>
            <w:r>
              <w:t xml:space="preserve">Housing Deposits</w:t>
            </w:r>
          </w:p>
        </w:tc>
        <w:tc>
          <w:tcPr/>
          <w:p>
            <w:pPr>
              <w:pStyle w:val="Compact"/>
              <w:jc w:val="left"/>
            </w:pPr>
            <w:r>
              <w:t xml:space="preserve">$3,500 (one-time)</w:t>
            </w:r>
          </w:p>
        </w:tc>
      </w:tr>
      <w:tr>
        <w:tc>
          <w:tcPr/>
          <w:p>
            <w:pPr>
              <w:pStyle w:val="Compact"/>
              <w:jc w:val="left"/>
            </w:pPr>
            <w:r>
              <w:t xml:space="preserve">T2050 U6</w:t>
            </w:r>
          </w:p>
        </w:tc>
        <w:tc>
          <w:tcPr/>
          <w:p>
            <w:pPr>
              <w:pStyle w:val="Compact"/>
              <w:jc w:val="left"/>
            </w:pPr>
            <w:r>
              <w:t xml:space="preserve">Housing Tenancy and Sustaining</w:t>
            </w:r>
          </w:p>
        </w:tc>
        <w:tc>
          <w:tcPr/>
          <w:p>
            <w:pPr>
              <w:pStyle w:val="Compact"/>
              <w:jc w:val="left"/>
            </w:pPr>
            <w:r>
              <w:t xml:space="preserve">$14,400</w:t>
            </w:r>
          </w:p>
        </w:tc>
      </w:tr>
      <w:tr>
        <w:tc>
          <w:tcPr/>
          <w:p>
            <w:pPr>
              <w:pStyle w:val="Compact"/>
              <w:jc w:val="left"/>
            </w:pPr>
            <w:r>
              <w:t xml:space="preserve">T2033 U6</w:t>
            </w:r>
          </w:p>
        </w:tc>
        <w:tc>
          <w:tcPr/>
          <w:p>
            <w:pPr>
              <w:pStyle w:val="Compact"/>
              <w:jc w:val="left"/>
            </w:pPr>
            <w:r>
              <w:t xml:space="preserve">Recuperative Care</w:t>
            </w:r>
          </w:p>
        </w:tc>
        <w:tc>
          <w:tcPr/>
          <w:p>
            <w:pPr>
              <w:pStyle w:val="Compact"/>
              <w:jc w:val="left"/>
            </w:pPr>
            <w:r>
              <w:t xml:space="preserve">$21,900</w:t>
            </w:r>
          </w:p>
        </w:tc>
      </w:tr>
      <w:tr>
        <w:tc>
          <w:tcPr/>
          <w:p>
            <w:pPr>
              <w:pStyle w:val="Compact"/>
              <w:jc w:val="left"/>
            </w:pPr>
            <w:r>
              <w:rPr>
                <w:bCs/>
                <w:b/>
              </w:rPr>
              <w:t xml:space="preserve">Blended Average (stabilized)</w:t>
            </w:r>
          </w:p>
        </w:tc>
        <w:tc>
          <w:tcPr/>
          <w:p>
            <w:pPr>
              <w:pStyle w:val="Compact"/>
            </w:pPr>
          </w:p>
        </w:tc>
        <w:tc>
          <w:tcPr/>
          <w:p>
            <w:pPr>
              <w:pStyle w:val="Compact"/>
              <w:jc w:val="left"/>
            </w:pPr>
            <w:r>
              <w:rPr>
                <w:bCs/>
                <w:b/>
              </w:rPr>
              <w:t xml:space="preserve">$18,200</w:t>
            </w:r>
          </w:p>
        </w:tc>
      </w:tr>
    </w:tbl>
    <w:bookmarkEnd w:id="28"/>
    <w:bookmarkStart w:id="29" w:name="thirty-six-month-revenue-projection"/>
    <w:p>
      <w:pPr>
        <w:pStyle w:val="Heading3"/>
      </w:pPr>
      <w:r>
        <w:t xml:space="preserve">4. Thirty-Six-Month Revenue Projection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Period</w:t>
            </w:r>
          </w:p>
        </w:tc>
        <w:tc>
          <w:tcPr/>
          <w:p>
            <w:pPr>
              <w:pStyle w:val="Compact"/>
              <w:jc w:val="left"/>
            </w:pPr>
            <w:r>
              <w:t xml:space="preserve">Months</w:t>
            </w:r>
          </w:p>
        </w:tc>
        <w:tc>
          <w:tcPr/>
          <w:p>
            <w:pPr>
              <w:pStyle w:val="Compact"/>
              <w:jc w:val="left"/>
            </w:pPr>
            <w:r>
              <w:t xml:space="preserve">Occupancy</w:t>
            </w:r>
          </w:p>
        </w:tc>
        <w:tc>
          <w:tcPr/>
          <w:p>
            <w:pPr>
              <w:pStyle w:val="Compact"/>
              <w:jc w:val="left"/>
            </w:pPr>
            <w:r>
              <w:t xml:space="preserve">Units Occupied</w:t>
            </w:r>
          </w:p>
        </w:tc>
        <w:tc>
          <w:tcPr/>
          <w:p>
            <w:pPr>
              <w:pStyle w:val="Compact"/>
              <w:jc w:val="left"/>
            </w:pPr>
            <w:r>
              <w:t xml:space="preserve">Gross Annual Revenue</w:t>
            </w:r>
          </w:p>
        </w:tc>
        <w:tc>
          <w:tcPr/>
          <w:p>
            <w:pPr>
              <w:pStyle w:val="Compact"/>
              <w:jc w:val="left"/>
            </w:pPr>
            <w:r>
              <w:t xml:space="preserve">Revenue Composition</w:t>
            </w:r>
          </w:p>
        </w:tc>
      </w:tr>
      <w:tr>
        <w:tc>
          <w:tcPr/>
          <w:p>
            <w:pPr>
              <w:pStyle w:val="Compact"/>
              <w:jc w:val="left"/>
            </w:pPr>
            <w:r>
              <w:t xml:space="preserve">Ramp-up</w:t>
            </w:r>
          </w:p>
        </w:tc>
        <w:tc>
          <w:tcPr/>
          <w:p>
            <w:pPr>
              <w:pStyle w:val="Compact"/>
              <w:jc w:val="left"/>
            </w:pPr>
            <w:r>
              <w:t xml:space="preserve">1-6</w:t>
            </w:r>
          </w:p>
        </w:tc>
        <w:tc>
          <w:tcPr/>
          <w:p>
            <w:pPr>
              <w:pStyle w:val="Compact"/>
              <w:jc w:val="left"/>
            </w:pPr>
            <w:r>
              <w:t xml:space="preserve">30%</w:t>
            </w:r>
          </w:p>
        </w:tc>
        <w:tc>
          <w:tcPr/>
          <w:p>
            <w:pPr>
              <w:pStyle w:val="Compact"/>
              <w:jc w:val="left"/>
            </w:pPr>
            <w:r>
              <w:t xml:space="preserve">600</w:t>
            </w:r>
          </w:p>
        </w:tc>
        <w:tc>
          <w:tcPr/>
          <w:p>
            <w:pPr>
              <w:pStyle w:val="Compact"/>
              <w:jc w:val="left"/>
            </w:pPr>
            <w:r>
              <w:t xml:space="preserve">$13,140,000</w:t>
            </w:r>
          </w:p>
        </w:tc>
        <w:tc>
          <w:tcPr/>
          <w:p>
            <w:pPr>
              <w:pStyle w:val="Compact"/>
              <w:jc w:val="left"/>
            </w:pPr>
            <w:r>
              <w:t xml:space="preserve">60% Recuperative Care, 40% Tenancy</w:t>
            </w:r>
          </w:p>
        </w:tc>
      </w:tr>
      <w:tr>
        <w:tc>
          <w:tcPr/>
          <w:p>
            <w:pPr>
              <w:pStyle w:val="Compact"/>
              <w:jc w:val="left"/>
            </w:pPr>
            <w:r>
              <w:t xml:space="preserve">Stabilization</w:t>
            </w:r>
          </w:p>
        </w:tc>
        <w:tc>
          <w:tcPr/>
          <w:p>
            <w:pPr>
              <w:pStyle w:val="Compact"/>
              <w:jc w:val="left"/>
            </w:pPr>
            <w:r>
              <w:t xml:space="preserve">7-18</w:t>
            </w:r>
          </w:p>
        </w:tc>
        <w:tc>
          <w:tcPr/>
          <w:p>
            <w:pPr>
              <w:pStyle w:val="Compact"/>
              <w:jc w:val="left"/>
            </w:pPr>
            <w:r>
              <w:t xml:space="preserve">75%</w:t>
            </w:r>
          </w:p>
        </w:tc>
        <w:tc>
          <w:tcPr/>
          <w:p>
            <w:pPr>
              <w:pStyle w:val="Compact"/>
              <w:jc w:val="left"/>
            </w:pPr>
            <w:r>
              <w:t xml:space="preserve">1,500</w:t>
            </w:r>
          </w:p>
        </w:tc>
        <w:tc>
          <w:tcPr/>
          <w:p>
            <w:pPr>
              <w:pStyle w:val="Compact"/>
              <w:jc w:val="left"/>
            </w:pPr>
            <w:r>
              <w:t xml:space="preserve">$27,300,000</w:t>
            </w:r>
          </w:p>
        </w:tc>
        <w:tc>
          <w:tcPr/>
          <w:p>
            <w:pPr>
              <w:pStyle w:val="Compact"/>
              <w:jc w:val="left"/>
            </w:pPr>
            <w:r>
              <w:t xml:space="preserve">30% Recuperative Care, 70% Tenancy</w:t>
            </w:r>
          </w:p>
        </w:tc>
      </w:tr>
      <w:tr>
        <w:tc>
          <w:tcPr/>
          <w:p>
            <w:pPr>
              <w:pStyle w:val="Compact"/>
              <w:jc w:val="left"/>
            </w:pPr>
            <w:r>
              <w:t xml:space="preserve">Maturity</w:t>
            </w:r>
          </w:p>
        </w:tc>
        <w:tc>
          <w:tcPr/>
          <w:p>
            <w:pPr>
              <w:pStyle w:val="Compact"/>
              <w:jc w:val="left"/>
            </w:pPr>
            <w:r>
              <w:t xml:space="preserve">19-36</w:t>
            </w:r>
          </w:p>
        </w:tc>
        <w:tc>
          <w:tcPr/>
          <w:p>
            <w:pPr>
              <w:pStyle w:val="Compact"/>
              <w:jc w:val="left"/>
            </w:pPr>
            <w:r>
              <w:t xml:space="preserve">95%</w:t>
            </w:r>
          </w:p>
        </w:tc>
        <w:tc>
          <w:tcPr/>
          <w:p>
            <w:pPr>
              <w:pStyle w:val="Compact"/>
              <w:jc w:val="left"/>
            </w:pPr>
            <w:r>
              <w:t xml:space="preserve">1,900</w:t>
            </w:r>
          </w:p>
        </w:tc>
        <w:tc>
          <w:tcPr/>
          <w:p>
            <w:pPr>
              <w:pStyle w:val="Compact"/>
              <w:jc w:val="left"/>
            </w:pPr>
            <w:r>
              <w:t xml:space="preserve">$34,580,000</w:t>
            </w:r>
          </w:p>
        </w:tc>
        <w:tc>
          <w:tcPr/>
          <w:p>
            <w:pPr>
              <w:pStyle w:val="Compact"/>
              <w:jc w:val="left"/>
            </w:pPr>
            <w:r>
              <w:t xml:space="preserve">15% Recuperative Care, 85% Tenancy</w:t>
            </w:r>
          </w:p>
        </w:tc>
      </w:tr>
    </w:tbl>
    <w:bookmarkEnd w:id="29"/>
    <w:bookmarkStart w:id="30" w:name="operating-expense-model-at-maturity"/>
    <w:p>
      <w:pPr>
        <w:pStyle w:val="Heading3"/>
      </w:pPr>
      <w:r>
        <w:t xml:space="preserve">5. Operating Expense Model (At Maturity)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Annual Cost</w:t>
            </w:r>
          </w:p>
        </w:tc>
        <w:tc>
          <w:tcPr/>
          <w:p>
            <w:pPr>
              <w:pStyle w:val="Compact"/>
              <w:jc w:val="left"/>
            </w:pPr>
            <w:r>
              <w:t xml:space="preserve">Percentage of Gross Revenue</w:t>
            </w:r>
          </w:p>
        </w:tc>
      </w:tr>
      <w:tr>
        <w:tc>
          <w:tcPr/>
          <w:p>
            <w:pPr>
              <w:pStyle w:val="Compact"/>
              <w:jc w:val="left"/>
            </w:pPr>
            <w:r>
              <w:t xml:space="preserve">Staffing (pod stewards, clinical, admin)</w:t>
            </w:r>
          </w:p>
        </w:tc>
        <w:tc>
          <w:tcPr/>
          <w:p>
            <w:pPr>
              <w:pStyle w:val="Compact"/>
              <w:jc w:val="left"/>
            </w:pPr>
            <w:r>
              <w:t xml:space="preserve">$12,132,000</w:t>
            </w:r>
          </w:p>
        </w:tc>
        <w:tc>
          <w:tcPr/>
          <w:p>
            <w:pPr>
              <w:pStyle w:val="Compact"/>
              <w:jc w:val="left"/>
            </w:pPr>
            <w:r>
              <w:t xml:space="preserve">35%</w:t>
            </w:r>
          </w:p>
        </w:tc>
      </w:tr>
      <w:tr>
        <w:tc>
          <w:tcPr/>
          <w:p>
            <w:pPr>
              <w:pStyle w:val="Compact"/>
              <w:jc w:val="left"/>
            </w:pPr>
            <w:r>
              <w:t xml:space="preserve">Facilities (maintenance, utilities, insurance)</w:t>
            </w:r>
          </w:p>
        </w:tc>
        <w:tc>
          <w:tcPr/>
          <w:p>
            <w:pPr>
              <w:pStyle w:val="Compact"/>
              <w:jc w:val="left"/>
            </w:pPr>
            <w:r>
              <w:t xml:space="preserve">$5,187,000</w:t>
            </w:r>
          </w:p>
        </w:tc>
        <w:tc>
          <w:tcPr/>
          <w:p>
            <w:pPr>
              <w:pStyle w:val="Compact"/>
              <w:jc w:val="left"/>
            </w:pPr>
            <w:r>
              <w:t xml:space="preserve">15%</w:t>
            </w:r>
          </w:p>
        </w:tc>
      </w:tr>
      <w:tr>
        <w:tc>
          <w:tcPr/>
          <w:p>
            <w:pPr>
              <w:pStyle w:val="Compact"/>
              <w:jc w:val="left"/>
            </w:pPr>
            <w:r>
              <w:t xml:space="preserve">Administrative overhead</w:t>
            </w:r>
          </w:p>
        </w:tc>
        <w:tc>
          <w:tcPr/>
          <w:p>
            <w:pPr>
              <w:pStyle w:val="Compact"/>
              <w:jc w:val="left"/>
            </w:pPr>
            <w:r>
              <w:t xml:space="preserve">$3,458,000</w:t>
            </w:r>
          </w:p>
        </w:tc>
        <w:tc>
          <w:tcPr/>
          <w:p>
            <w:pPr>
              <w:pStyle w:val="Compact"/>
              <w:jc w:val="left"/>
            </w:pPr>
            <w:r>
              <w:t xml:space="preserve">10%</w:t>
            </w:r>
          </w:p>
        </w:tc>
      </w:tr>
      <w:tr>
        <w:tc>
          <w:tcPr/>
          <w:p>
            <w:pPr>
              <w:pStyle w:val="Compact"/>
              <w:jc w:val="left"/>
            </w:pPr>
            <w:r>
              <w:rPr>
                <w:bCs/>
                <w:b/>
              </w:rPr>
              <w:t xml:space="preserve">Total Operating Expenses</w:t>
            </w:r>
          </w:p>
        </w:tc>
        <w:tc>
          <w:tcPr/>
          <w:p>
            <w:pPr>
              <w:pStyle w:val="Compact"/>
              <w:jc w:val="left"/>
            </w:pPr>
            <w:r>
              <w:rPr>
                <w:bCs/>
                <w:b/>
              </w:rPr>
              <w:t xml:space="preserve">$20,748,000</w:t>
            </w:r>
          </w:p>
        </w:tc>
        <w:tc>
          <w:tcPr/>
          <w:p>
            <w:pPr>
              <w:pStyle w:val="Compact"/>
              <w:jc w:val="left"/>
            </w:pPr>
            <w:r>
              <w:rPr>
                <w:bCs/>
                <w:b/>
              </w:rPr>
              <w:t xml:space="preserve">60%</w:t>
            </w:r>
          </w:p>
        </w:tc>
      </w:tr>
      <w:tr>
        <w:tc>
          <w:tcPr/>
          <w:p>
            <w:pPr>
              <w:pStyle w:val="Compact"/>
              <w:jc w:val="left"/>
            </w:pPr>
            <w:r>
              <w:rPr>
                <w:bCs/>
                <w:b/>
              </w:rPr>
              <w:t xml:space="preserve">Net Operating Income</w:t>
            </w:r>
          </w:p>
        </w:tc>
        <w:tc>
          <w:tcPr/>
          <w:p>
            <w:pPr>
              <w:pStyle w:val="Compact"/>
              <w:jc w:val="left"/>
            </w:pPr>
            <w:r>
              <w:rPr>
                <w:bCs/>
                <w:b/>
              </w:rPr>
              <w:t xml:space="preserve">$13,832,000</w:t>
            </w:r>
          </w:p>
        </w:tc>
        <w:tc>
          <w:tcPr/>
          <w:p>
            <w:pPr>
              <w:pStyle w:val="Compact"/>
              <w:jc w:val="left"/>
            </w:pPr>
            <w:r>
              <w:rPr>
                <w:bCs/>
                <w:b/>
              </w:rPr>
              <w:t xml:space="preserve">40%</w:t>
            </w:r>
          </w:p>
        </w:tc>
      </w:tr>
    </w:tbl>
    <w:bookmarkEnd w:id="30"/>
    <w:bookmarkStart w:id="31" w:name="Xbfcea3c0b11d9a0ebe50ff52788910e655c4507"/>
    <w:p>
      <w:pPr>
        <w:pStyle w:val="Heading3"/>
      </w:pPr>
      <w:r>
        <w:t xml:space="preserve">6. Debt Service and Yield Distribution (At Maturity)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 Item</w:t>
            </w:r>
          </w:p>
        </w:tc>
        <w:tc>
          <w:tcPr/>
          <w:p>
            <w:pPr>
              <w:pStyle w:val="Compact"/>
              <w:jc w:val="left"/>
            </w:pPr>
            <w:r>
              <w:t xml:space="preserve">Annual Amount</w:t>
            </w:r>
          </w:p>
        </w:tc>
      </w:tr>
      <w:tr>
        <w:tc>
          <w:tcPr/>
          <w:p>
            <w:pPr>
              <w:pStyle w:val="Compact"/>
              <w:jc w:val="left"/>
            </w:pPr>
            <w:r>
              <w:t xml:space="preserve">Senior Debt Service (8.0% on $132M)</w:t>
            </w:r>
          </w:p>
        </w:tc>
        <w:tc>
          <w:tcPr/>
          <w:p>
            <w:pPr>
              <w:pStyle w:val="Compact"/>
              <w:jc w:val="left"/>
            </w:pPr>
            <w:r>
              <w:t xml:space="preserve">$10,560,000</w:t>
            </w:r>
          </w:p>
        </w:tc>
      </w:tr>
      <w:tr>
        <w:tc>
          <w:tcPr/>
          <w:p>
            <w:pPr>
              <w:pStyle w:val="Compact"/>
              <w:jc w:val="left"/>
            </w:pPr>
            <w:r>
              <w:rPr>
                <w:bCs/>
                <w:b/>
              </w:rPr>
              <w:t xml:space="preserve">Debt Service Coverage Ratio</w:t>
            </w:r>
          </w:p>
        </w:tc>
        <w:tc>
          <w:tcPr/>
          <w:p>
            <w:pPr>
              <w:pStyle w:val="Compact"/>
              <w:jc w:val="left"/>
            </w:pPr>
            <w:r>
              <w:rPr>
                <w:bCs/>
                <w:b/>
              </w:rPr>
              <w:t xml:space="preserve">1.31x</w:t>
            </w:r>
          </w:p>
        </w:tc>
      </w:tr>
      <w:tr>
        <w:tc>
          <w:tcPr/>
          <w:p>
            <w:pPr>
              <w:pStyle w:val="Compact"/>
              <w:jc w:val="left"/>
            </w:pPr>
            <w:r>
              <w:t xml:space="preserve">Residual After Debt Service</w:t>
            </w:r>
          </w:p>
        </w:tc>
        <w:tc>
          <w:tcPr/>
          <w:p>
            <w:pPr>
              <w:pStyle w:val="Compact"/>
              <w:jc w:val="left"/>
            </w:pPr>
            <w:r>
              <w:t xml:space="preserve">$3,272,000</w:t>
            </w:r>
          </w:p>
        </w:tc>
      </w:tr>
      <w:tr>
        <w:tc>
          <w:tcPr/>
          <w:p>
            <w:pPr>
              <w:pStyle w:val="Compact"/>
              <w:jc w:val="left"/>
            </w:pPr>
            <w:r>
              <w:t xml:space="preserve">Catalytic Equity Return (on $88M)</w:t>
            </w:r>
          </w:p>
        </w:tc>
        <w:tc>
          <w:tcPr/>
          <w:p>
            <w:pPr>
              <w:pStyle w:val="Compact"/>
              <w:jc w:val="left"/>
            </w:pPr>
            <w:r>
              <w:t xml:space="preserve">3.7% nominal</w:t>
            </w:r>
          </w:p>
        </w:tc>
      </w:tr>
    </w:tbl>
    <w:bookmarkEnd w:id="31"/>
    <w:bookmarkStart w:id="32" w:name="avoided-cost-fiscal-impact"/>
    <w:p>
      <w:pPr>
        <w:pStyle w:val="Heading3"/>
      </w:pPr>
      <w:r>
        <w:t xml:space="preserve">7. Avoided-Cost Fiscal Impact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Annual street management cost per individual</w:t>
            </w:r>
          </w:p>
        </w:tc>
        <w:tc>
          <w:tcPr/>
          <w:p>
            <w:pPr>
              <w:pStyle w:val="Compact"/>
              <w:jc w:val="left"/>
            </w:pPr>
            <w:r>
              <w:t xml:space="preserve">$50,000</w:t>
            </w:r>
          </w:p>
        </w:tc>
      </w:tr>
      <w:tr>
        <w:tc>
          <w:tcPr/>
          <w:p>
            <w:pPr>
              <w:pStyle w:val="Compact"/>
              <w:jc w:val="left"/>
            </w:pPr>
            <w:r>
              <w:t xml:space="preserve">Individuals housed at maturity</w:t>
            </w:r>
          </w:p>
        </w:tc>
        <w:tc>
          <w:tcPr/>
          <w:p>
            <w:pPr>
              <w:pStyle w:val="Compact"/>
              <w:jc w:val="left"/>
            </w:pPr>
            <w:r>
              <w:t xml:space="preserve">1,900</w:t>
            </w:r>
          </w:p>
        </w:tc>
      </w:tr>
      <w:tr>
        <w:tc>
          <w:tcPr/>
          <w:p>
            <w:pPr>
              <w:pStyle w:val="Compact"/>
              <w:jc w:val="left"/>
            </w:pPr>
            <w:r>
              <w:t xml:space="preserve">Gross annual avoided public cost</w:t>
            </w:r>
          </w:p>
        </w:tc>
        <w:tc>
          <w:tcPr/>
          <w:p>
            <w:pPr>
              <w:pStyle w:val="Compact"/>
              <w:jc w:val="left"/>
            </w:pPr>
            <w:r>
              <w:t xml:space="preserve">$95,000,000</w:t>
            </w:r>
          </w:p>
        </w:tc>
      </w:tr>
      <w:tr>
        <w:tc>
          <w:tcPr/>
          <w:p>
            <w:pPr>
              <w:pStyle w:val="Compact"/>
              <w:jc w:val="left"/>
            </w:pPr>
            <w:r>
              <w:t xml:space="preserve">Net avoided cost (minus facility operating subsidy)</w:t>
            </w:r>
          </w:p>
        </w:tc>
        <w:tc>
          <w:tcPr/>
          <w:p>
            <w:pPr>
              <w:pStyle w:val="Compact"/>
              <w:jc w:val="left"/>
            </w:pPr>
            <w:r>
              <w:t xml:space="preserve">$74,252,000</w:t>
            </w:r>
          </w:p>
        </w:tc>
      </w:tr>
    </w:tbl>
    <w:bookmarkEnd w:id="32"/>
    <w:bookmarkStart w:id="33" w:name="sensitivity-analysis"/>
    <w:p>
      <w:pPr>
        <w:pStyle w:val="Heading3"/>
      </w:pPr>
      <w:r>
        <w:t xml:space="preserve">8. Sensitivity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Base Case</w:t>
            </w:r>
          </w:p>
        </w:tc>
        <w:tc>
          <w:tcPr/>
          <w:p>
            <w:pPr>
              <w:pStyle w:val="Compact"/>
              <w:jc w:val="left"/>
            </w:pPr>
            <w:r>
              <w:t xml:space="preserve">Downside (-15%)</w:t>
            </w:r>
          </w:p>
        </w:tc>
        <w:tc>
          <w:tcPr/>
          <w:p>
            <w:pPr>
              <w:pStyle w:val="Compact"/>
              <w:jc w:val="left"/>
            </w:pPr>
            <w:r>
              <w:t xml:space="preserve">Upside (+10%)</w:t>
            </w:r>
          </w:p>
        </w:tc>
      </w:tr>
      <w:tr>
        <w:tc>
          <w:tcPr/>
          <w:p>
            <w:pPr>
              <w:pStyle w:val="Compact"/>
              <w:jc w:val="left"/>
            </w:pPr>
            <w:r>
              <w:t xml:space="preserve">Stabilized Occupancy</w:t>
            </w:r>
          </w:p>
        </w:tc>
        <w:tc>
          <w:tcPr/>
          <w:p>
            <w:pPr>
              <w:pStyle w:val="Compact"/>
              <w:jc w:val="left"/>
            </w:pPr>
            <w:r>
              <w:t xml:space="preserve">95%</w:t>
            </w:r>
          </w:p>
        </w:tc>
        <w:tc>
          <w:tcPr/>
          <w:p>
            <w:pPr>
              <w:pStyle w:val="Compact"/>
              <w:jc w:val="left"/>
            </w:pPr>
            <w:r>
              <w:t xml:space="preserve">81%</w:t>
            </w:r>
          </w:p>
        </w:tc>
        <w:tc>
          <w:tcPr/>
          <w:p>
            <w:pPr>
              <w:pStyle w:val="Compact"/>
              <w:jc w:val="left"/>
            </w:pPr>
            <w:r>
              <w:t xml:space="preserve">100%</w:t>
            </w:r>
          </w:p>
        </w:tc>
      </w:tr>
      <w:tr>
        <w:tc>
          <w:tcPr/>
          <w:p>
            <w:pPr>
              <w:pStyle w:val="Compact"/>
              <w:jc w:val="left"/>
            </w:pPr>
            <w:r>
              <w:t xml:space="preserve">Gross Revenue (Maturity)</w:t>
            </w:r>
          </w:p>
        </w:tc>
        <w:tc>
          <w:tcPr/>
          <w:p>
            <w:pPr>
              <w:pStyle w:val="Compact"/>
              <w:jc w:val="left"/>
            </w:pPr>
            <w:r>
              <w:t xml:space="preserve">$34,580,000</w:t>
            </w:r>
          </w:p>
        </w:tc>
        <w:tc>
          <w:tcPr/>
          <w:p>
            <w:pPr>
              <w:pStyle w:val="Compact"/>
              <w:jc w:val="left"/>
            </w:pPr>
            <w:r>
              <w:t xml:space="preserve">$29,393,000</w:t>
            </w:r>
          </w:p>
        </w:tc>
        <w:tc>
          <w:tcPr/>
          <w:p>
            <w:pPr>
              <w:pStyle w:val="Compact"/>
              <w:jc w:val="left"/>
            </w:pPr>
            <w:r>
              <w:t xml:space="preserve">$36,400,000</w:t>
            </w:r>
          </w:p>
        </w:tc>
      </w:tr>
      <w:tr>
        <w:tc>
          <w:tcPr/>
          <w:p>
            <w:pPr>
              <w:pStyle w:val="Compact"/>
              <w:jc w:val="left"/>
            </w:pPr>
            <w:r>
              <w:t xml:space="preserve">Net Operating Income</w:t>
            </w:r>
          </w:p>
        </w:tc>
        <w:tc>
          <w:tcPr/>
          <w:p>
            <w:pPr>
              <w:pStyle w:val="Compact"/>
              <w:jc w:val="left"/>
            </w:pPr>
            <w:r>
              <w:t xml:space="preserve">$13,832,000</w:t>
            </w:r>
          </w:p>
        </w:tc>
        <w:tc>
          <w:tcPr/>
          <w:p>
            <w:pPr>
              <w:pStyle w:val="Compact"/>
              <w:jc w:val="left"/>
            </w:pPr>
            <w:r>
              <w:t xml:space="preserve">$11,757,200</w:t>
            </w:r>
          </w:p>
        </w:tc>
        <w:tc>
          <w:tcPr/>
          <w:p>
            <w:pPr>
              <w:pStyle w:val="Compact"/>
              <w:jc w:val="left"/>
            </w:pPr>
            <w:r>
              <w:t xml:space="preserve">$14,560,000</w:t>
            </w:r>
          </w:p>
        </w:tc>
      </w:tr>
      <w:tr>
        <w:tc>
          <w:tcPr/>
          <w:p>
            <w:pPr>
              <w:pStyle w:val="Compact"/>
              <w:jc w:val="left"/>
            </w:pPr>
            <w:r>
              <w:t xml:space="preserve">DSCR</w:t>
            </w:r>
          </w:p>
        </w:tc>
        <w:tc>
          <w:tcPr/>
          <w:p>
            <w:pPr>
              <w:pStyle w:val="Compact"/>
              <w:jc w:val="left"/>
            </w:pPr>
            <w:r>
              <w:t xml:space="preserve">1.31x</w:t>
            </w:r>
          </w:p>
        </w:tc>
        <w:tc>
          <w:tcPr/>
          <w:p>
            <w:pPr>
              <w:pStyle w:val="Compact"/>
              <w:jc w:val="left"/>
            </w:pPr>
            <w:r>
              <w:t xml:space="preserve">1.11x</w:t>
            </w:r>
          </w:p>
        </w:tc>
        <w:tc>
          <w:tcPr/>
          <w:p>
            <w:pPr>
              <w:pStyle w:val="Compact"/>
              <w:jc w:val="left"/>
            </w:pPr>
            <w:r>
              <w:t xml:space="preserve">1.38x</w:t>
            </w:r>
          </w:p>
        </w:tc>
      </w:tr>
      <w:tr>
        <w:tc>
          <w:tcPr/>
          <w:p>
            <w:pPr>
              <w:pStyle w:val="Compact"/>
              <w:jc w:val="left"/>
            </w:pPr>
            <w:r>
              <w:t xml:space="preserve">Equity Return</w:t>
            </w:r>
          </w:p>
        </w:tc>
        <w:tc>
          <w:tcPr/>
          <w:p>
            <w:pPr>
              <w:pStyle w:val="Compact"/>
              <w:jc w:val="left"/>
            </w:pPr>
            <w:r>
              <w:t xml:space="preserve">3.7%</w:t>
            </w:r>
          </w:p>
        </w:tc>
        <w:tc>
          <w:tcPr/>
          <w:p>
            <w:pPr>
              <w:pStyle w:val="Compact"/>
              <w:jc w:val="left"/>
            </w:pPr>
            <w:r>
              <w:t xml:space="preserve">1.1%</w:t>
            </w:r>
          </w:p>
        </w:tc>
        <w:tc>
          <w:tcPr/>
          <w:p>
            <w:pPr>
              <w:pStyle w:val="Compact"/>
              <w:jc w:val="left"/>
            </w:pPr>
            <w:r>
              <w:t xml:space="preserve">4.5%</w:t>
            </w:r>
          </w:p>
        </w:tc>
      </w:tr>
    </w:tbl>
    <w:bookmarkEnd w:id="33"/>
    <w:bookmarkStart w:id="34" w:name="measurement-windows"/>
    <w:p>
      <w:pPr>
        <w:pStyle w:val="Heading3"/>
      </w:pPr>
      <w:r>
        <w:t xml:space="preserve">9. Measurement Windows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Day</w:t>
            </w:r>
          </w:p>
        </w:tc>
        <w:tc>
          <w:tcPr/>
          <w:p>
            <w:pPr>
              <w:pStyle w:val="Compact"/>
              <w:jc w:val="left"/>
            </w:pPr>
            <w:r>
              <w:t xml:space="preserve">Target Metric</w:t>
            </w:r>
          </w:p>
        </w:tc>
        <w:tc>
          <w:tcPr/>
          <w:p>
            <w:pPr>
              <w:pStyle w:val="Compact"/>
              <w:jc w:val="left"/>
            </w:pPr>
            <w:r>
              <w:t xml:space="preserve">Replication Trigger</w:t>
            </w:r>
          </w:p>
        </w:tc>
      </w:tr>
      <w:tr>
        <w:tc>
          <w:tcPr/>
          <w:p>
            <w:pPr>
              <w:pStyle w:val="Compact"/>
              <w:jc w:val="left"/>
            </w:pPr>
            <w:r>
              <w:t xml:space="preserve">Retention Validation</w:t>
            </w:r>
          </w:p>
        </w:tc>
        <w:tc>
          <w:tcPr/>
          <w:p>
            <w:pPr>
              <w:pStyle w:val="Compact"/>
              <w:jc w:val="left"/>
            </w:pPr>
            <w:r>
              <w:t xml:space="preserve">90</w:t>
            </w:r>
          </w:p>
        </w:tc>
        <w:tc>
          <w:tcPr/>
          <w:p>
            <w:pPr>
              <w:pStyle w:val="Compact"/>
              <w:jc w:val="left"/>
            </w:pPr>
            <w:r>
              <w:t xml:space="preserve">85% retention rate</w:t>
            </w:r>
          </w:p>
        </w:tc>
        <w:tc>
          <w:tcPr/>
          <w:p>
            <w:pPr>
              <w:pStyle w:val="Compact"/>
              <w:jc w:val="left"/>
            </w:pPr>
            <w:r>
              <w:t xml:space="preserve">Confirms autonomic routing protocol</w:t>
            </w:r>
          </w:p>
        </w:tc>
      </w:tr>
      <w:tr>
        <w:tc>
          <w:tcPr/>
          <w:p>
            <w:pPr>
              <w:pStyle w:val="Compact"/>
              <w:jc w:val="left"/>
            </w:pPr>
            <w:r>
              <w:t xml:space="preserve">Revenue Validation</w:t>
            </w:r>
          </w:p>
        </w:tc>
        <w:tc>
          <w:tcPr/>
          <w:p>
            <w:pPr>
              <w:pStyle w:val="Compact"/>
              <w:jc w:val="left"/>
            </w:pPr>
            <w:r>
              <w:t xml:space="preserve">180</w:t>
            </w:r>
          </w:p>
        </w:tc>
        <w:tc>
          <w:tcPr/>
          <w:p>
            <w:pPr>
              <w:pStyle w:val="Compact"/>
              <w:jc w:val="left"/>
            </w:pPr>
            <w:r>
              <w:t xml:space="preserve">Within 10% of projected per-unit revenue</w:t>
            </w:r>
          </w:p>
        </w:tc>
        <w:tc>
          <w:tcPr/>
          <w:p>
            <w:pPr>
              <w:pStyle w:val="Compact"/>
              <w:jc w:val="left"/>
            </w:pPr>
            <w:r>
              <w:t xml:space="preserve">Confirms CalAIM billing architecture</w:t>
            </w:r>
          </w:p>
        </w:tc>
      </w:tr>
      <w:tr>
        <w:tc>
          <w:tcPr/>
          <w:p>
            <w:pPr>
              <w:pStyle w:val="Compact"/>
              <w:jc w:val="left"/>
            </w:pPr>
            <w:r>
              <w:t xml:space="preserve">Avoided-Cost Validation</w:t>
            </w:r>
          </w:p>
        </w:tc>
        <w:tc>
          <w:tcPr/>
          <w:p>
            <w:pPr>
              <w:pStyle w:val="Compact"/>
              <w:jc w:val="left"/>
            </w:pPr>
            <w:r>
              <w:t xml:space="preserve">365</w:t>
            </w:r>
          </w:p>
        </w:tc>
        <w:tc>
          <w:tcPr/>
          <w:p>
            <w:pPr>
              <w:pStyle w:val="Compact"/>
              <w:jc w:val="left"/>
            </w:pPr>
            <w:r>
              <w:t xml:space="preserve">&gt;$50,000 per capita reduction</w:t>
            </w:r>
          </w:p>
        </w:tc>
        <w:tc>
          <w:tcPr/>
          <w:p>
            <w:pPr>
              <w:pStyle w:val="Compact"/>
              <w:jc w:val="left"/>
            </w:pPr>
            <w:r>
              <w:rPr>
                <w:bCs/>
                <w:b/>
              </w:rPr>
              <w:t xml:space="preserve">Triggers autonomous capital replication</w:t>
            </w:r>
          </w:p>
        </w:tc>
      </w:tr>
    </w:tbl>
    <w:bookmarkEnd w:id="34"/>
    <w:bookmarkStart w:id="35" w:name="key-assumptions-and-limitations"/>
    <w:p>
      <w:pPr>
        <w:pStyle w:val="Heading3"/>
      </w:pPr>
      <w:r>
        <w:t xml:space="preserve">10. Key Assumptions and Limitations</w:t>
      </w:r>
    </w:p>
    <w:p>
      <w:pPr>
        <w:numPr>
          <w:ilvl w:val="0"/>
          <w:numId w:val="1001"/>
        </w:numPr>
        <w:pStyle w:val="Compact"/>
      </w:pPr>
      <w:r>
        <w:t xml:space="preserve">Unit count of 2,000 assumes full building conversion; partial conversion reduces proportionally.</w:t>
      </w:r>
    </w:p>
    <w:p>
      <w:pPr>
        <w:numPr>
          <w:ilvl w:val="0"/>
          <w:numId w:val="1001"/>
        </w:numPr>
        <w:pStyle w:val="Compact"/>
      </w:pPr>
      <w:r>
        <w:t xml:space="preserve">CalAIM billing rates reflect 2025-2026 published rate structures and are subject to annual adjustment.</w:t>
      </w:r>
    </w:p>
    <w:p>
      <w:pPr>
        <w:numPr>
          <w:ilvl w:val="0"/>
          <w:numId w:val="1001"/>
        </w:numPr>
        <w:pStyle w:val="Compact"/>
      </w:pPr>
      <w:r>
        <w:t xml:space="preserve">Recuperative Care revenue assumes dedicated floor allocation of approximately fifteen percent of total capacity.</w:t>
      </w:r>
    </w:p>
    <w:p>
      <w:pPr>
        <w:numPr>
          <w:ilvl w:val="0"/>
          <w:numId w:val="1001"/>
        </w:numPr>
        <w:pStyle w:val="Compact"/>
      </w:pPr>
      <w:r>
        <w:t xml:space="preserve">Operating expense ratio of sixty percent is conservative relative to comparable permanent supportive housing operations.</w:t>
      </w:r>
    </w:p>
    <w:p>
      <w:pPr>
        <w:numPr>
          <w:ilvl w:val="0"/>
          <w:numId w:val="1001"/>
        </w:numPr>
        <w:pStyle w:val="Compact"/>
      </w:pPr>
      <w:r>
        <w:t xml:space="preserve">Capitalized interest reserve covers twelve months of senior debt service during ramp-up, funded from initial capital raise.</w:t>
      </w:r>
    </w:p>
    <w:p>
      <w:pPr>
        <w:numPr>
          <w:ilvl w:val="0"/>
          <w:numId w:val="1001"/>
        </w:numPr>
        <w:pStyle w:val="Compact"/>
      </w:pPr>
      <w:r>
        <w:t xml:space="preserve">Pro forma does not model Enhanced Care Management capitation overlay, which would increase per-unit revenue for highest-acuity enrollees.</w:t>
      </w:r>
    </w:p>
    <w:p>
      <w:pPr>
        <w:numPr>
          <w:ilvl w:val="0"/>
          <w:numId w:val="1001"/>
        </w:numPr>
        <w:pStyle w:val="Compact"/>
      </w:pPr>
      <w:r>
        <w:t xml:space="preserve">Sensitivity analysis models a fifteen percent downside occupancy shortfall as the stress case.</w:t>
      </w:r>
    </w:p>
    <w:p>
      <w:r>
        <w:pict>
          <v:rect style="width:0;height:1.5pt" o:hralign="center" o:hrstd="t" o:hr="t"/>
        </w:pict>
      </w:r>
    </w:p>
    <w:bookmarkEnd w:id="35"/>
    <w:bookmarkEnd w:id="36"/>
    <w:bookmarkEnd w:id="37"/>
    <w:bookmarkStart w:id="43" w:name="citations-and-sources"/>
    <w:p>
      <w:pPr>
        <w:pStyle w:val="Heading1"/>
      </w:pPr>
      <w:r>
        <w:t xml:space="preserve">Citations and Sources</w:t>
      </w:r>
    </w:p>
    <w:bookmarkStart w:id="38" w:name="chapter-one-the-first-mover-problem"/>
    <w:p>
      <w:pPr>
        <w:pStyle w:val="Heading2"/>
      </w:pPr>
      <w:r>
        <w:t xml:space="preserve">Chapter One: The First-Mover Problem</w:t>
      </w:r>
    </w:p>
    <w:p>
      <w:pPr>
        <w:pStyle w:val="FirstParagraph"/>
      </w:pPr>
      <w:r>
        <w:t xml:space="preserve">Global Impact Investing Network.</w:t>
      </w:r>
      <w:r>
        <w:t xml:space="preserve"> </w:t>
      </w:r>
      <w:r>
        <w:rPr>
          <w:iCs/>
          <w:i/>
        </w:rPr>
        <w:t xml:space="preserve">Catalytic Capital: Explaining the Range of Investment Practices</w:t>
      </w:r>
      <w:r>
        <w:t xml:space="preserve">. New York: GIIN, 2020.</w:t>
      </w:r>
    </w:p>
    <w:p>
      <w:pPr>
        <w:pStyle w:val="BodyText"/>
      </w:pPr>
      <w:r>
        <w:t xml:space="preserve">Glaeser, Edward L., and Joseph Gyourko.</w:t>
      </w:r>
      <w:r>
        <w:t xml:space="preserve"> </w:t>
      </w:r>
      <w:r>
        <w:t xml:space="preserve">“</w:t>
      </w:r>
      <w:r>
        <w:t xml:space="preserve">The Impact of Building Restrictions on Housing Affordability.</w:t>
      </w:r>
      <w:r>
        <w:t xml:space="preserve">”</w:t>
      </w:r>
      <w:r>
        <w:t xml:space="preserve"> </w:t>
      </w:r>
      <w:r>
        <w:rPr>
          <w:iCs/>
          <w:i/>
        </w:rPr>
        <w:t xml:space="preserve">Economic Policy Review</w:t>
      </w:r>
      <w:r>
        <w:t xml:space="preserve"> </w:t>
      </w:r>
      <w:r>
        <w:t xml:space="preserve">9, no. 2 (2003): 21–39.</w:t>
      </w:r>
    </w:p>
    <w:bookmarkEnd w:id="38"/>
    <w:bookmarkStart w:id="39" w:name="X5961e5b28dc1d4dc34b88cf61340125b13a8cab"/>
    <w:p>
      <w:pPr>
        <w:pStyle w:val="Heading2"/>
      </w:pPr>
      <w:r>
        <w:t xml:space="preserve">Chapter Two: Capital Stack and Yield Mechanics</w:t>
      </w:r>
    </w:p>
    <w:p>
      <w:pPr>
        <w:pStyle w:val="FirstParagraph"/>
      </w:pPr>
      <w:r>
        <w:t xml:space="preserve">Brookings Institution.</w:t>
      </w:r>
      <w:r>
        <w:t xml:space="preserve"> </w:t>
      </w:r>
      <w:r>
        <w:rPr>
          <w:iCs/>
          <w:i/>
        </w:rPr>
        <w:t xml:space="preserve">Blended Finance for Infrastructure: A Guide for Policy Makers and Investors</w:t>
      </w:r>
      <w:r>
        <w:t xml:space="preserve">. Washington, D.C.: Brookings, 2021.</w:t>
      </w:r>
    </w:p>
    <w:p>
      <w:pPr>
        <w:pStyle w:val="BodyText"/>
      </w:pPr>
      <w:r>
        <w:t xml:space="preserve">National Alliance to End Homelessness.</w:t>
      </w:r>
      <w:r>
        <w:t xml:space="preserve"> </w:t>
      </w:r>
      <w:r>
        <w:rPr>
          <w:iCs/>
          <w:i/>
        </w:rPr>
        <w:t xml:space="preserve">The Business Case for Ending Homelessness: Cost Savings of Permanent Supportive Housing</w:t>
      </w:r>
      <w:r>
        <w:t xml:space="preserve">. Washington, D.C.: NAEH, 2023.</w:t>
      </w:r>
    </w:p>
    <w:bookmarkEnd w:id="39"/>
    <w:bookmarkStart w:id="40" w:name="Xfe9c875d0de3735646bf17fe851a0ab51d3bc03"/>
    <w:p>
      <w:pPr>
        <w:pStyle w:val="Heading2"/>
      </w:pPr>
      <w:r>
        <w:t xml:space="preserve">Chapter Three: Legal Architecture and Governance</w:t>
      </w:r>
    </w:p>
    <w:p>
      <w:pPr>
        <w:pStyle w:val="FirstParagraph"/>
      </w:pPr>
      <w:r>
        <w:t xml:space="preserve">Olson, Mancur.</w:t>
      </w:r>
      <w:r>
        <w:t xml:space="preserve"> </w:t>
      </w:r>
      <w:r>
        <w:rPr>
          <w:iCs/>
          <w:i/>
        </w:rPr>
        <w:t xml:space="preserve">The Logic of Collective Action: Public Goods and the Theory of Groups</w:t>
      </w:r>
      <w:r>
        <w:t xml:space="preserve">. Cambridge: Harvard University Press, 1965.</w:t>
      </w:r>
    </w:p>
    <w:bookmarkEnd w:id="40"/>
    <w:bookmarkStart w:id="41" w:name="chapter-four-sovereign-revenue-mechanics"/>
    <w:p>
      <w:pPr>
        <w:pStyle w:val="Heading2"/>
      </w:pPr>
      <w:r>
        <w:t xml:space="preserve">Chapter Four: Sovereign Revenue Mechanics</w:t>
      </w:r>
    </w:p>
    <w:p>
      <w:pPr>
        <w:pStyle w:val="FirstParagraph"/>
      </w:pPr>
      <w:r>
        <w:t xml:space="preserve">California State Auditor.</w:t>
      </w:r>
      <w:r>
        <w:t xml:space="preserve"> </w:t>
      </w:r>
      <w:r>
        <w:rPr>
          <w:iCs/>
          <w:i/>
        </w:rPr>
        <w:t xml:space="preserve">Homelessness in California: The State Must Do More to Assess the Cost-Effectiveness of Its Programs</w:t>
      </w:r>
      <w:r>
        <w:t xml:space="preserve">. Sacramento: CSA, 2024.</w:t>
      </w:r>
    </w:p>
    <w:p>
      <w:pPr>
        <w:pStyle w:val="BodyText"/>
      </w:pPr>
      <w:r>
        <w:t xml:space="preserve">Culhane, Dennis P., Stephen Metraux, and Trevor Hadley.</w:t>
      </w:r>
      <w:r>
        <w:t xml:space="preserve"> </w:t>
      </w:r>
      <w:r>
        <w:t xml:space="preserve">“</w:t>
      </w:r>
      <w:r>
        <w:t xml:space="preserve">Public Service Reductions Associated with Placement of Homeless Persons with Severe Mental Illness in Supportive Housing.</w:t>
      </w:r>
      <w:r>
        <w:t xml:space="preserve">”</w:t>
      </w:r>
      <w:r>
        <w:t xml:space="preserve"> </w:t>
      </w:r>
      <w:r>
        <w:rPr>
          <w:iCs/>
          <w:i/>
        </w:rPr>
        <w:t xml:space="preserve">Housing Policy Debate</w:t>
      </w:r>
      <w:r>
        <w:t xml:space="preserve"> </w:t>
      </w:r>
      <w:r>
        <w:t xml:space="preserve">13, no. 1 (2002): 107–163.</w:t>
      </w:r>
    </w:p>
    <w:bookmarkEnd w:id="41"/>
    <w:bookmarkStart w:id="42" w:name="chapter-five-structural-risk-mitigation"/>
    <w:p>
      <w:pPr>
        <w:pStyle w:val="Heading2"/>
      </w:pPr>
      <w:r>
        <w:t xml:space="preserve">Chapter Five: Structural Risk Mitigation</w:t>
      </w:r>
    </w:p>
    <w:p>
      <w:pPr>
        <w:pStyle w:val="FirstParagraph"/>
      </w:pPr>
      <w:r>
        <w:t xml:space="preserve">Porges, Stephen W.</w:t>
      </w:r>
      <w:r>
        <w:t xml:space="preserve"> </w:t>
      </w:r>
      <w:r>
        <w:t xml:space="preserve">“</w:t>
      </w:r>
      <w:r>
        <w:t xml:space="preserve">Orienting in a Defensive World: Mammalian Modifications of our Evolutionary Heritage. A Polyvagal Theory.</w:t>
      </w:r>
      <w:r>
        <w:t xml:space="preserve">”</w:t>
      </w:r>
      <w:r>
        <w:t xml:space="preserve"> </w:t>
      </w:r>
      <w:r>
        <w:rPr>
          <w:iCs/>
          <w:i/>
        </w:rPr>
        <w:t xml:space="preserve">Psychophysiology</w:t>
      </w:r>
      <w:r>
        <w:t xml:space="preserve"> </w:t>
      </w:r>
      <w:r>
        <w:t xml:space="preserve">32, no. 4 (1995): 301–318.</w:t>
      </w:r>
    </w:p>
    <w:p>
      <w:pPr>
        <w:pStyle w:val="BodyText"/>
      </w:pPr>
      <w:r>
        <w:t xml:space="preserve">Dunbar, Robin I. M.</w:t>
      </w:r>
      <w:r>
        <w:t xml:space="preserve"> </w:t>
      </w:r>
      <w:r>
        <w:t xml:space="preserve">“</w:t>
      </w:r>
      <w:r>
        <w:t xml:space="preserve">Coevolution of neocortex size, group size and language in humans.</w:t>
      </w:r>
      <w:r>
        <w:t xml:space="preserve">”</w:t>
      </w:r>
      <w:r>
        <w:t xml:space="preserve"> </w:t>
      </w:r>
      <w:r>
        <w:rPr>
          <w:iCs/>
          <w:i/>
        </w:rPr>
        <w:t xml:space="preserve">Behavioral and Brain Sciences</w:t>
      </w:r>
      <w:r>
        <w:t xml:space="preserve"> </w:t>
      </w:r>
      <w:r>
        <w:t xml:space="preserve">16, no. 4 (1993): 681–735.</w:t>
      </w:r>
    </w:p>
    <w:p>
      <w:pPr>
        <w:pStyle w:val="BodyText"/>
      </w:pPr>
      <w:r>
        <w:t xml:space="preserve">California Department of Health Care Services.</w:t>
      </w:r>
      <w:r>
        <w:t xml:space="preserve"> </w:t>
      </w:r>
      <w:r>
        <w:rPr>
          <w:iCs/>
          <w:i/>
        </w:rPr>
        <w:t xml:space="preserve">CalAIM Enhanced Care Management and Community Supports Operational Guide</w:t>
      </w:r>
      <w:r>
        <w:t xml:space="preserve">. Sacramento: DHCS, 2024.</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2026-06-13T18:58:12Z</dcterms:created>
  <dcterms:modified xsi:type="dcterms:W3CDTF">2026-06-13T18:58:12Z</dcterms:modified>
</cp:coreProperties>
</file>

<file path=docProps/custom.xml><?xml version="1.0" encoding="utf-8"?>
<Properties xmlns="http://schemas.openxmlformats.org/officeDocument/2006/custom-properties" xmlns:vt="http://schemas.openxmlformats.org/officeDocument/2006/docPropsVTypes"/>
</file>