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BC2" w:rsidRDefault="00D51DF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Composant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5</w:t>
      </w:r>
    </w:p>
    <w:p w:rsidR="009F5BC2" w:rsidRDefault="00D51DF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RASOLOHERY Tianome</w:t>
      </w:r>
    </w:p>
    <w:p w:rsidR="009F5BC2" w:rsidRDefault="00D51DF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DJEUKAM YOUDJEU Richelle</w:t>
      </w:r>
    </w:p>
    <w:p w:rsidR="009F5BC2" w:rsidRDefault="00D51DF5">
      <w:pPr>
        <w:ind w:firstLine="720"/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HILALY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Nawfal</w:t>
      </w:r>
      <w:proofErr w:type="spellEnd"/>
    </w:p>
    <w:p w:rsidR="009F5BC2" w:rsidRDefault="00D51DF5">
      <w:pPr>
        <w:ind w:firstLine="720"/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NAJI Mohammed Hamza </w:t>
      </w:r>
    </w:p>
    <w:p w:rsidR="009F5BC2" w:rsidRDefault="00D51DF5">
      <w:pPr>
        <w:jc w:val="right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VERSION 1</w:t>
      </w:r>
    </w:p>
    <w:p w:rsidR="009F5BC2" w:rsidRDefault="009F5BC2">
      <w:pPr>
        <w:rPr>
          <w:rFonts w:ascii="Times New Roman" w:eastAsia="Times New Roman" w:hAnsi="Times New Roman" w:cs="Times New Roman"/>
        </w:rPr>
      </w:pPr>
    </w:p>
    <w:p w:rsidR="009F5BC2" w:rsidRDefault="009F5BC2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9F5BC2" w:rsidRDefault="009F5BC2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9F5BC2" w:rsidRDefault="00D51DF5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Description</w:t>
      </w:r>
    </w:p>
    <w:p w:rsidR="009F5BC2" w:rsidRDefault="009F5BC2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9F5BC2" w:rsidRDefault="00D51DF5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Contexte</w:t>
      </w:r>
      <w:proofErr w:type="spellEnd"/>
    </w:p>
    <w:p w:rsidR="009F5BC2" w:rsidRDefault="009F5BC2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9F5BC2" w:rsidRPr="00C82CCA" w:rsidRDefault="00D51DF5">
      <w:pPr>
        <w:jc w:val="both"/>
        <w:rPr>
          <w:rFonts w:ascii="Times New Roman" w:eastAsia="Times New Roman" w:hAnsi="Times New Roman" w:cs="Times New Roman"/>
          <w:color w:val="373E42"/>
          <w:sz w:val="24"/>
          <w:szCs w:val="24"/>
        </w:rPr>
      </w:pPr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La blockchain est une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technologie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de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stockage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et de transmission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d’informations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,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transparente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,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sécurisée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, et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fonctionnant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sans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aucun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organe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central de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contrôle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. Ce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projet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vise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donc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à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mettre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sur place une blockchain locale à travers la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réalisation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d’un ense</w:t>
      </w:r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mble de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composants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qui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permettront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l’acheminement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sécurisée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et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complète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d’une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transaction.</w:t>
      </w:r>
    </w:p>
    <w:p w:rsidR="009F5BC2" w:rsidRPr="00C82CCA" w:rsidRDefault="00D51DF5">
      <w:pPr>
        <w:jc w:val="both"/>
        <w:rPr>
          <w:rFonts w:ascii="Times New Roman" w:eastAsia="Times New Roman" w:hAnsi="Times New Roman" w:cs="Times New Roman"/>
          <w:color w:val="373E42"/>
          <w:sz w:val="24"/>
          <w:szCs w:val="24"/>
        </w:rPr>
      </w:pP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Lorsqu’un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hôte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A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a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effectué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une transaction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vers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un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hôte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B,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celle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-ci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va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être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acheminée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dans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un bloc; Ce bloc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va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être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validé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par les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noeuds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du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réseau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; une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fois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le blo</w:t>
      </w:r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c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validé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,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il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est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ainsi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ajouté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à la blockchain et la transaction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ainsi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générée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sera visible au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destinataire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et à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l’ensemble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l’ensemble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du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réseau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.</w:t>
      </w:r>
    </w:p>
    <w:p w:rsidR="009F5BC2" w:rsidRPr="00C82CCA" w:rsidRDefault="00D51DF5">
      <w:pPr>
        <w:jc w:val="both"/>
        <w:rPr>
          <w:rFonts w:ascii="Times New Roman" w:eastAsia="Times New Roman" w:hAnsi="Times New Roman" w:cs="Times New Roman"/>
          <w:color w:val="373E42"/>
          <w:sz w:val="24"/>
          <w:szCs w:val="24"/>
        </w:rPr>
      </w:pP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Afin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d’assurer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la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sécurité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au sein de la blockchain,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chaque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bloc et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chaque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transaction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doivent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vérifier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certain</w:t>
      </w:r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es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conditions de validation.</w:t>
      </w:r>
    </w:p>
    <w:p w:rsidR="009F5BC2" w:rsidRPr="00C82CCA" w:rsidRDefault="00D51DF5">
      <w:pPr>
        <w:jc w:val="both"/>
        <w:rPr>
          <w:rFonts w:ascii="Times New Roman" w:eastAsia="Times New Roman" w:hAnsi="Times New Roman" w:cs="Times New Roman"/>
          <w:color w:val="373E42"/>
          <w:sz w:val="24"/>
          <w:szCs w:val="24"/>
        </w:rPr>
      </w:pPr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Ce document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illustre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ainsi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les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différentes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spécifications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ou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encore les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différentes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étapes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de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vérification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par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lesquelles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chaque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transaction et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chaque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bloc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devront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passer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afin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d'être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validés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et par la suite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être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acheminés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dans</w:t>
      </w:r>
      <w:proofErr w:type="spellEnd"/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r w:rsidRPr="00C82CCA">
        <w:rPr>
          <w:rFonts w:ascii="Times New Roman" w:eastAsia="Times New Roman" w:hAnsi="Times New Roman" w:cs="Times New Roman"/>
          <w:color w:val="373E42"/>
          <w:sz w:val="24"/>
          <w:szCs w:val="24"/>
        </w:rPr>
        <w:t>la blockchain.</w:t>
      </w:r>
    </w:p>
    <w:p w:rsidR="00C82CCA" w:rsidRDefault="00C82CC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:rsidR="009F5BC2" w:rsidRDefault="00D51DF5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Schéma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bloc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incluant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composants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connexes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9F5BC2" w:rsidRDefault="009F5BC2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9F5BC2" w:rsidRDefault="00D51DF5" w:rsidP="00C82CCA">
      <w:pPr>
        <w:ind w:left="-68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inline distT="114300" distB="114300" distL="114300" distR="114300">
            <wp:extent cx="6807600" cy="6206400"/>
            <wp:effectExtent l="0" t="0" r="0" b="4445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600" cy="62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BC2" w:rsidRDefault="009F5BC2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9F5BC2" w:rsidRDefault="009F5BC2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C82CCA" w:rsidRDefault="00C82CC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:rsidR="009F5BC2" w:rsidRDefault="00D51DF5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 xml:space="preserve">Interface et interaction avec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chaque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autre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composant</w:t>
      </w:r>
      <w:proofErr w:type="spellEnd"/>
    </w:p>
    <w:p w:rsidR="009F5BC2" w:rsidRDefault="009F5BC2">
      <w:pPr>
        <w:rPr>
          <w:rFonts w:ascii="Times New Roman" w:eastAsia="Times New Roman" w:hAnsi="Times New Roman" w:cs="Times New Roman"/>
          <w:sz w:val="40"/>
          <w:szCs w:val="40"/>
        </w:rPr>
      </w:pPr>
    </w:p>
    <w:p w:rsidR="009F5BC2" w:rsidRDefault="00D51DF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115150" cy="3709988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150" cy="3709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5BC2" w:rsidRDefault="00D51D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l’interaction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avec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composants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remarqué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dernier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composants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1, 2, 3, 4.</w:t>
      </w:r>
    </w:p>
    <w:p w:rsidR="009F5BC2" w:rsidRDefault="00D51D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effet, nous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déduit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 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vérification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intervienne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d’éviter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propager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erronées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5BC2" w:rsidRDefault="00D51D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vérification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transactions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création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lecture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transaction.</w:t>
      </w:r>
    </w:p>
    <w:p w:rsidR="009F5BC2" w:rsidRDefault="009F5BC2">
      <w:pPr>
        <w:rPr>
          <w:rFonts w:ascii="Times New Roman" w:eastAsia="Times New Roman" w:hAnsi="Times New Roman" w:cs="Times New Roman"/>
        </w:rPr>
      </w:pPr>
    </w:p>
    <w:p w:rsidR="009F5BC2" w:rsidRDefault="00C82CCA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Résumé</w:t>
      </w:r>
      <w:r w:rsidR="00D51DF5">
        <w:rPr>
          <w:rFonts w:ascii="Times New Roman" w:eastAsia="Times New Roman" w:hAnsi="Times New Roman" w:cs="Times New Roman"/>
          <w:sz w:val="40"/>
          <w:szCs w:val="40"/>
        </w:rPr>
        <w:t xml:space="preserve"> (</w:t>
      </w:r>
      <w:r w:rsidR="00D51DF5">
        <w:rPr>
          <w:rFonts w:ascii="Times New Roman" w:eastAsia="Times New Roman" w:hAnsi="Times New Roman" w:cs="Times New Roman"/>
          <w:sz w:val="40"/>
          <w:szCs w:val="40"/>
        </w:rPr>
        <w:t>headers)</w:t>
      </w:r>
      <w:bookmarkStart w:id="0" w:name="_GoBack"/>
      <w:bookmarkEnd w:id="0"/>
    </w:p>
    <w:p w:rsidR="009F5BC2" w:rsidRDefault="00D51DF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signatures des classes et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devr</w:t>
      </w:r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implémentées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la validation d’un bloc et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vérification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transaction. </w:t>
      </w:r>
    </w:p>
    <w:p w:rsidR="009F5BC2" w:rsidRDefault="009F5B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5BC2" w:rsidRDefault="00D51DF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>Valider</w:t>
      </w:r>
      <w:proofErr w:type="spellEnd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>l'état</w:t>
      </w:r>
      <w:proofErr w:type="spellEnd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 xml:space="preserve"> d’un bloc</w:t>
      </w:r>
    </w:p>
    <w:p w:rsidR="009F5BC2" w:rsidRDefault="00D51D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bloc 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constitué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CCA">
        <w:rPr>
          <w:rFonts w:ascii="Times New Roman" w:eastAsia="Times New Roman" w:hAnsi="Times New Roman" w:cs="Times New Roman"/>
          <w:sz w:val="24"/>
          <w:szCs w:val="24"/>
        </w:rPr>
        <w:t>de: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5BC2" w:rsidRDefault="00D51DF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Numéro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bloc </w:t>
      </w:r>
    </w:p>
    <w:p w:rsidR="009F5BC2" w:rsidRDefault="00D51DF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Hash du bloc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précédent</w:t>
      </w:r>
      <w:proofErr w:type="spellEnd"/>
    </w:p>
    <w:p w:rsidR="009F5BC2" w:rsidRDefault="00D51DF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Nonce</w:t>
      </w:r>
    </w:p>
    <w:p w:rsidR="009F5BC2" w:rsidRDefault="00D51DF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Transactions </w:t>
      </w:r>
    </w:p>
    <w:p w:rsidR="009F5BC2" w:rsidRDefault="00D51DF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Gain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5BC2" w:rsidRDefault="00D51DF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conséquent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l’implément</w:t>
      </w:r>
      <w:r>
        <w:rPr>
          <w:rFonts w:ascii="Times New Roman" w:eastAsia="Times New Roman" w:hAnsi="Times New Roman" w:cs="Times New Roman"/>
          <w:sz w:val="24"/>
          <w:szCs w:val="24"/>
        </w:rPr>
        <w:t>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“Bloc”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contiendra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attributs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-ci dessus et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vérification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d’un bloc sera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définit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2CCA">
        <w:rPr>
          <w:rFonts w:ascii="Times New Roman" w:eastAsia="Times New Roman" w:hAnsi="Times New Roman" w:cs="Times New Roman"/>
          <w:sz w:val="24"/>
          <w:szCs w:val="24"/>
        </w:rPr>
        <w:t>suit: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F5BC2" w:rsidRDefault="009F5B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5BC2" w:rsidRDefault="00D51DF5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Signature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méthode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eastAsia="Times New Roman" w:hAnsi="Times New Roman" w:cs="Times New Roman"/>
          <w:color w:val="0000B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B0"/>
          <w:sz w:val="24"/>
          <w:szCs w:val="24"/>
        </w:rPr>
        <w:t>Bloc*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b);</w:t>
      </w:r>
    </w:p>
    <w:p w:rsidR="009F5BC2" w:rsidRDefault="009F5B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5BC2" w:rsidRDefault="00D51D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verify_bloc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vérifiera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la version du bloc 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supérieure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égale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version du bloc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blockchain;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s’arrête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renverra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false.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vérifier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le bloc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actuel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commence par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minimum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zéros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5BC2" w:rsidRDefault="009F5BC2">
      <w:pPr>
        <w:jc w:val="both"/>
        <w:rPr>
          <w:rFonts w:ascii="Times New Roman" w:eastAsia="Times New Roman" w:hAnsi="Times New Roman" w:cs="Times New Roman"/>
          <w:color w:val="373E42"/>
          <w:sz w:val="28"/>
          <w:szCs w:val="28"/>
        </w:rPr>
      </w:pPr>
    </w:p>
    <w:p w:rsidR="009F5BC2" w:rsidRDefault="00D51DF5">
      <w:pPr>
        <w:jc w:val="both"/>
        <w:rPr>
          <w:rFonts w:ascii="Times New Roman" w:eastAsia="Times New Roman" w:hAnsi="Times New Roman" w:cs="Times New Roman"/>
          <w:color w:val="20252D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>Valider</w:t>
      </w:r>
      <w:proofErr w:type="spellEnd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>l'entrée</w:t>
      </w:r>
      <w:proofErr w:type="spellEnd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 xml:space="preserve"> de la transaction</w:t>
      </w:r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transactions, on a des entrées </w:t>
      </w:r>
      <w:r w:rsidR="00C82CCA">
        <w:rPr>
          <w:rFonts w:ascii="Times New Roman" w:eastAsia="Times New Roman" w:hAnsi="Times New Roman" w:cs="Times New Roman"/>
          <w:sz w:val="24"/>
          <w:szCs w:val="24"/>
        </w:rPr>
        <w:t>TXI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Transaction Input)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caractérisées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par:</w:t>
      </w:r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d’entrées</w:t>
      </w:r>
      <w:proofErr w:type="spellEnd"/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entrée on a:</w:t>
      </w:r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Numéro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bloc</w:t>
      </w:r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Numéro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UTXO</w:t>
      </w:r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de la UTXO </w:t>
      </w:r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également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sorties </w:t>
      </w:r>
      <w:r w:rsidR="00C82CCA">
        <w:rPr>
          <w:rFonts w:ascii="Times New Roman" w:eastAsia="Times New Roman" w:hAnsi="Times New Roman" w:cs="Times New Roman"/>
          <w:sz w:val="24"/>
          <w:szCs w:val="24"/>
        </w:rPr>
        <w:t>UTXO (</w:t>
      </w:r>
      <w:r>
        <w:rPr>
          <w:rFonts w:ascii="Times New Roman" w:eastAsia="Times New Roman" w:hAnsi="Times New Roman" w:cs="Times New Roman"/>
          <w:sz w:val="24"/>
          <w:szCs w:val="24"/>
        </w:rPr>
        <w:t>Unspent Transaction 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caractérisées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par:</w:t>
      </w:r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sorties</w:t>
      </w:r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sortie on a:</w:t>
      </w:r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Montant</w:t>
      </w:r>
      <w:proofErr w:type="spellEnd"/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Destinataire</w:t>
      </w:r>
      <w:proofErr w:type="spellEnd"/>
    </w:p>
    <w:p w:rsidR="009F5BC2" w:rsidRDefault="00D51DF5">
      <w:pPr>
        <w:pBdr>
          <w:top w:val="none" w:sz="0" w:space="9" w:color="auto"/>
          <w:left w:val="none" w:sz="0" w:space="0" w:color="auto"/>
          <w:bottom w:val="none" w:sz="0" w:space="0" w:color="auto"/>
          <w:right w:val="none" w:sz="0" w:space="0" w:color="auto"/>
        </w:pBdr>
        <w:spacing w:line="33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Une transaction 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valide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rapport à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blockchain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particulier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sorties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qu'elle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dépenser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satisfait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prédicats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sorties.</w:t>
      </w:r>
    </w:p>
    <w:p w:rsidR="009F5BC2" w:rsidRDefault="00D51DF5">
      <w:pPr>
        <w:numPr>
          <w:ilvl w:val="0"/>
          <w:numId w:val="1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Signature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méthode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B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entry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B0"/>
          <w:sz w:val="24"/>
          <w:szCs w:val="24"/>
        </w:rPr>
        <w:t xml:space="preserve">UTXI*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F5BC2" w:rsidRDefault="009F5BC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5BC2" w:rsidRDefault="00D51DF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vérifie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entrées (UTXI) que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reçoit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5BC2" w:rsidRDefault="009F5BC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F5BC2" w:rsidRDefault="00D51DF5">
      <w:pPr>
        <w:rPr>
          <w:rFonts w:ascii="Times New Roman" w:eastAsia="Times New Roman" w:hAnsi="Times New Roman" w:cs="Times New Roman"/>
          <w:color w:val="20252D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>Vérifier</w:t>
      </w:r>
      <w:proofErr w:type="spellEnd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 xml:space="preserve"> que la transaction est </w:t>
      </w:r>
      <w:proofErr w:type="spellStart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>bien</w:t>
      </w:r>
      <w:proofErr w:type="spellEnd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0252D"/>
          <w:sz w:val="30"/>
          <w:szCs w:val="30"/>
        </w:rPr>
        <w:t>formée</w:t>
      </w:r>
      <w:proofErr w:type="spellEnd"/>
    </w:p>
    <w:p w:rsidR="009F5BC2" w:rsidRDefault="009F5BC2">
      <w:pPr>
        <w:rPr>
          <w:rFonts w:ascii="Times New Roman" w:eastAsia="Times New Roman" w:hAnsi="Times New Roman" w:cs="Times New Roman"/>
        </w:rPr>
      </w:pPr>
    </w:p>
    <w:p w:rsidR="009F5BC2" w:rsidRDefault="00D51DF5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Signature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méthode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B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retrieve_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utxo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B0"/>
          <w:sz w:val="24"/>
          <w:szCs w:val="24"/>
        </w:rPr>
        <w:t xml:space="preserve">UTXI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F5BC2" w:rsidRDefault="00D51DF5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60" w:line="33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première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cherche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savoir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transaction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être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analysée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structure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transaction</w:t>
      </w:r>
      <w:r>
        <w:rPr>
          <w:rFonts w:ascii="Times New Roman" w:eastAsia="Times New Roman" w:hAnsi="Times New Roman" w:cs="Times New Roman"/>
          <w:color w:val="373E4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dire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retrouver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chaîne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UTXO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correspondante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5BC2" w:rsidRDefault="00D51DF5">
      <w:pPr>
        <w:jc w:val="both"/>
        <w:rPr>
          <w:rFonts w:ascii="Times New Roman" w:eastAsia="Times New Roman" w:hAnsi="Times New Roman" w:cs="Times New Roman"/>
          <w:color w:val="373E42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r>
        <w:rPr>
          <w:rFonts w:ascii="Times New Roman" w:eastAsia="Times New Roman" w:hAnsi="Times New Roman" w:cs="Times New Roman"/>
          <w:sz w:val="24"/>
          <w:szCs w:val="24"/>
        </w:rPr>
        <w:t>ièmement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vérifie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UTXI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déjà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référencée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une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UTXI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bloc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numéro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inférieur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F5BC2" w:rsidRDefault="00D51DF5">
      <w:pPr>
        <w:numPr>
          <w:ilvl w:val="0"/>
          <w:numId w:val="4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 xml:space="preserve">Signature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méthode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B0"/>
          <w:sz w:val="24"/>
          <w:szCs w:val="24"/>
        </w:rPr>
        <w:t>bool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referenced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B0"/>
          <w:sz w:val="24"/>
          <w:szCs w:val="24"/>
        </w:rPr>
        <w:t xml:space="preserve">UTXI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9F5BC2" w:rsidRDefault="009F5BC2">
      <w:pPr>
        <w:ind w:firstLine="720"/>
        <w:jc w:val="both"/>
        <w:rPr>
          <w:rFonts w:ascii="Times New Roman" w:eastAsia="Times New Roman" w:hAnsi="Times New Roman" w:cs="Times New Roman"/>
        </w:rPr>
      </w:pPr>
    </w:p>
    <w:p w:rsidR="009F5BC2" w:rsidRDefault="00D51DF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Et à la fin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vérifications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décrypte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signat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accompagnant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UTXI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contenue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UTXO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retrouver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hash de la UTXO.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décryptage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réussir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retourner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UTXO)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échoué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retourner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NULL)</w:t>
      </w:r>
    </w:p>
    <w:p w:rsidR="009F5BC2" w:rsidRDefault="00D51DF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Hash de UTXO: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numéro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bloc,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z w:val="24"/>
          <w:szCs w:val="24"/>
        </w:rPr>
        <w:t>méro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bloc</w:t>
      </w:r>
    </w:p>
    <w:p w:rsidR="009F5BC2" w:rsidRDefault="00D51DF5">
      <w:pPr>
        <w:numPr>
          <w:ilvl w:val="0"/>
          <w:numId w:val="2"/>
        </w:num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Signature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méthode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B0"/>
          <w:sz w:val="24"/>
          <w:szCs w:val="24"/>
        </w:rPr>
        <w:t>UTXO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decrypt_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signature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B0"/>
          <w:sz w:val="24"/>
          <w:szCs w:val="24"/>
        </w:rPr>
        <w:t xml:space="preserve">UTXI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;</w:t>
      </w:r>
    </w:p>
    <w:p w:rsidR="009F5BC2" w:rsidRDefault="009F5BC2">
      <w:pPr>
        <w:jc w:val="both"/>
        <w:rPr>
          <w:rFonts w:ascii="Times New Roman" w:eastAsia="Times New Roman" w:hAnsi="Times New Roman" w:cs="Times New Roman"/>
        </w:rPr>
      </w:pPr>
    </w:p>
    <w:sectPr w:rsidR="009F5BC2" w:rsidSect="00C82CCA">
      <w:pgSz w:w="12240" w:h="15840"/>
      <w:pgMar w:top="1417" w:right="1417" w:bottom="1417" w:left="1417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925FA"/>
    <w:multiLevelType w:val="multilevel"/>
    <w:tmpl w:val="277E7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B4026A6"/>
    <w:multiLevelType w:val="multilevel"/>
    <w:tmpl w:val="ECA2AF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CC76AA0"/>
    <w:multiLevelType w:val="multilevel"/>
    <w:tmpl w:val="712C03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DE3329D"/>
    <w:multiLevelType w:val="multilevel"/>
    <w:tmpl w:val="BBD2E1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5BC2"/>
    <w:rsid w:val="009F5BC2"/>
    <w:rsid w:val="00C82CCA"/>
    <w:rsid w:val="00D5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D3C24"/>
  <w15:docId w15:val="{4F3F3D62-6C5A-45EC-8E62-190F7FE9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9CD8F-0F05-42AD-86ED-D2FF8368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Tianome</cp:lastModifiedBy>
  <cp:revision>3</cp:revision>
  <dcterms:created xsi:type="dcterms:W3CDTF">2018-02-15T22:38:00Z</dcterms:created>
  <dcterms:modified xsi:type="dcterms:W3CDTF">2018-02-15T22:45:00Z</dcterms:modified>
</cp:coreProperties>
</file>