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4204A"/>
          <w:sz w:val="52"/>
          <w:szCs w:val="52"/>
        </w:rPr>
        <w:t xml:space="preserve">Maquette d'étiquette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B6E60"/>
          <w:sz w:val="26"/>
          <w:szCs w:val="26"/>
        </w:rPr>
        <w:t xml:space="preserve">IZAMPEPTIDE · document de travail modifiable</w:t>
      </w:r>
    </w:p>
    <w:p>
      <w:pPr>
        <w:spacing w:after="280" w:before="0"/>
      </w:pPr>
      <w:r>
        <w:rPr>
          <w:rFonts w:ascii="Arial" w:cs="Arial" w:eastAsia="Arial" w:hAnsi="Arial"/>
          <w:color w:val="070B1A"/>
          <w:sz w:val="21"/>
          <w:szCs w:val="21"/>
        </w:rPr>
        <w:t xml:space="preserve">Cette maquette sert au volet marketing du projet : elle montre quelles mentions une étiquette de médicament doit porter et comment la marque IZAMPEPTIDE les met en forme. Les champs entre crochets sont à compléter avec des valeurs fictives pour le dossier.</w:t>
      </w:r>
    </w:p>
    <w:tbl>
      <w:tblPr>
        <w:tblW w:type="dxa" w:w="8504"/>
        <w:jc w:val="center"/>
        <w:tblBorders>
          <w:top w:val="single" w:color="14204A" w:sz="12"/>
          <w:left w:val="single" w:color="14204A" w:sz="12"/>
          <w:bottom w:val="single" w:color="14204A" w:sz="12"/>
          <w:right w:val="single" w:color="14204A" w:sz="12"/>
          <w:insideH w:val="none" w:color="FFFFFF" w:sz="0"/>
          <w:insideV w:val="none" w:color="FFFFFF" w:sz="0"/>
        </w:tblBorders>
        <w:tblLayout w:type="fixed"/>
      </w:tblPr>
      <w:tblGrid>
        <w:gridCol w:w="6122"/>
        <w:gridCol w:w="2382"/>
      </w:tblGrid>
      <w:tr>
        <w:tc>
          <w:tcPr>
            <w:tcW w:type="dxa" w:w="6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E1C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40"/>
                <w:szCs w:val="40"/>
              </w:rPr>
              <w:t xml:space="preserve">IZAM</w:t>
            </w:r>
            <w:r>
              <w:rPr>
                <w:rFonts w:ascii="Arial" w:cs="Arial" w:eastAsia="Arial" w:hAnsi="Arial"/>
                <w:b/>
                <w:bCs/>
                <w:color w:val="0B6E60"/>
                <w:sz w:val="40"/>
                <w:szCs w:val="40"/>
              </w:rPr>
              <w:t xml:space="preserve">PEPTIDE</w:t>
            </w:r>
          </w:p>
        </w:tc>
        <w:tc>
          <w:tcPr>
            <w:tcW w:type="dxa" w:w="23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4848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MAQUETTE FICTIVE</w:t>
            </w:r>
          </w:p>
        </w:tc>
      </w:tr>
      <w:tr>
        <w:tc>
          <w:tcPr>
            <w:tcW w:type="dxa" w:w="6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4204A"/>
                <w:sz w:val="40"/>
                <w:szCs w:val="40"/>
              </w:rPr>
              <w:t xml:space="preserve">IZAM Meta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4204A"/>
                <w:sz w:val="22"/>
                <w:szCs w:val="22"/>
              </w:rPr>
              <w:t xml:space="preserve">[Substance active] · [Dosage]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D6480"/>
                <w:sz w:val="20"/>
                <w:szCs w:val="20"/>
              </w:rPr>
              <w:t xml:space="preserve">[Forme pharmaceutique] · [Voie d'administration]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6480"/>
                <w:sz w:val="20"/>
                <w:szCs w:val="20"/>
              </w:rPr>
              <w:t xml:space="preserve">[Contenu : volume ou nombre de doses]</w:t>
            </w:r>
          </w:p>
        </w:tc>
        <w:tc>
          <w:tcPr>
            <w:tcW w:type="dxa" w:w="2382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028700" cy="1028700"/>
                  <wp:effectExtent t="0" r="0" b="0" l="0"/>
                  <wp:docPr id="1" name="code2d" descr="Code 2D décoratif, ne contient aucune donnée" title="Code 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6480"/>
                <w:sz w:val="14"/>
                <w:szCs w:val="14"/>
              </w:rPr>
              <w:t xml:space="preserve">Code 2D (décoratif)</w:t>
            </w:r>
          </w:p>
        </w:tc>
      </w:tr>
      <w:tr>
        <w:tc>
          <w:tcPr>
            <w:tcW w:type="dxa" w:w="6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4204A"/>
                <w:sz w:val="20"/>
                <w:szCs w:val="20"/>
              </w:rPr>
              <w:t xml:space="preserve">Lot : </w:t>
            </w:r>
            <w:r>
              <w:rPr>
                <w:rFonts w:ascii="Courier New" w:cs="Courier New" w:eastAsia="Courier New" w:hAnsi="Courier New"/>
                <w:color w:val="14204A"/>
                <w:sz w:val="20"/>
                <w:szCs w:val="20"/>
              </w:rPr>
              <w:t xml:space="preserve">XXXXXX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4204A"/>
                <w:sz w:val="20"/>
                <w:szCs w:val="20"/>
              </w:rPr>
              <w:t xml:space="preserve">EXP : </w:t>
            </w:r>
            <w:r>
              <w:rPr>
                <w:rFonts w:ascii="Courier New" w:cs="Courier New" w:eastAsia="Courier New" w:hAnsi="Courier New"/>
                <w:color w:val="14204A"/>
                <w:sz w:val="20"/>
                <w:szCs w:val="20"/>
              </w:rPr>
              <w:t xml:space="preserve">MM/AAAA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6480"/>
                <w:sz w:val="20"/>
                <w:szCs w:val="20"/>
              </w:rPr>
              <w:t xml:space="preserve">[Conservation]</w:t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8504"/>
            <w:gridSpan w:val="2"/>
            <w:tcBorders>
              <w:top w:val="single" w:color="D5DAE8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6480"/>
                <w:sz w:val="18"/>
                <w:szCs w:val="18"/>
              </w:rPr>
              <w:t xml:space="preserve">Tenir hors de la vue et de la portée des enfants.</w:t>
            </w:r>
          </w:p>
        </w:tc>
      </w:tr>
      <w:tr>
        <w:tc>
          <w:tcPr>
            <w:tcW w:type="dxa" w:w="6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color="auto" w:val="clear"/>
            <w:tcMar>
              <w:top w:type="dxa" w:w="0"/>
              <w:left w:type="dxa" w:w="200"/>
              <w:bottom w:type="dxa" w:w="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70B1A"/>
                <w:sz w:val="4"/>
                <w:szCs w:val="4"/>
              </w:rPr>
              <w:t xml:space="preserve"> </w:t>
            </w:r>
          </w:p>
        </w:tc>
        <w:tc>
          <w:tcPr>
            <w:tcW w:type="dxa" w:w="23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72B6" w:color="auto" w:val="clear"/>
            <w:tcMar>
              <w:top w:type="dxa" w:w="0"/>
              <w:left w:type="dxa" w:w="200"/>
              <w:bottom w:type="dxa" w:w="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70B1A"/>
                <w:sz w:val="4"/>
                <w:szCs w:val="4"/>
              </w:rPr>
              <w:t xml:space="preserve"> </w:t>
            </w:r>
          </w:p>
        </w:tc>
      </w:tr>
    </w:tbl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5D6480"/>
          <w:sz w:val="17"/>
          <w:szCs w:val="17"/>
        </w:rPr>
        <w:t xml:space="preserve">Maquette agrandie. Les mentions « MAQUETTE FICTIVE » et « Code 2D (décoratif) » restent visibles : le code ne contient aucune donnée.</w:t>
      </w:r>
    </w:p>
    <w:p>
      <w:pPr>
        <w:pStyle w:val="Heading2"/>
        <w:keepNext/>
        <w:spacing w:after="160" w:before="360"/>
      </w:pPr>
      <w:r>
        <w:rPr>
          <w:rFonts w:ascii="Arial" w:cs="Arial" w:eastAsia="Arial" w:hAnsi="Arial"/>
          <w:b/>
          <w:bCs/>
          <w:color w:val="14204A"/>
          <w:sz w:val="28"/>
          <w:szCs w:val="28"/>
        </w:rPr>
        <w:t xml:space="preserve">Légende des mentions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2380"/>
        <w:gridCol w:w="3700"/>
        <w:gridCol w:w="2938"/>
      </w:tblGrid>
      <w:tr>
        <w:trPr>
          <w:tblHeader/>
        </w:trPr>
        <w:tc>
          <w:tcPr>
            <w:tcW w:type="dxa" w:w="62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070B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070B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Mention</w:t>
            </w:r>
          </w:p>
        </w:tc>
        <w:tc>
          <w:tcPr>
            <w:tcW w:type="dxa" w:w="3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070B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À quoi ça sert</w:t>
            </w:r>
          </w:p>
        </w:tc>
        <w:tc>
          <w:tcPr>
            <w:tcW w:type="dxa" w:w="2938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070B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de référence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60"/>
                <w:sz w:val="19"/>
                <w:szCs w:val="19"/>
              </w:rPr>
              <w:t xml:space="preserve">1</w:t>
            </w:r>
          </w:p>
        </w:tc>
        <w:tc>
          <w:tcPr>
            <w:tcW w:type="dxa" w:w="2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19"/>
                <w:szCs w:val="19"/>
              </w:rPr>
              <w:t xml:space="preserve">Marque + nom du produit</w:t>
            </w:r>
          </w:p>
        </w:tc>
        <w:tc>
          <w:tcPr>
            <w:tcW w:type="dxa" w:w="3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Identifier le produit. Le nom est suivi du dosage et de la forme pharmaceutique.</w:t>
            </w:r>
          </w:p>
        </w:tc>
        <w:tc>
          <w:tcPr>
            <w:tcW w:type="dxa" w:w="2938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Dir. 2001/83/CE, art. 54 a) ; art. 55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60"/>
                <w:sz w:val="19"/>
                <w:szCs w:val="19"/>
              </w:rPr>
              <w:t xml:space="preserve">2</w:t>
            </w:r>
          </w:p>
        </w:tc>
        <w:tc>
          <w:tcPr>
            <w:tcW w:type="dxa" w:w="2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19"/>
                <w:szCs w:val="19"/>
              </w:rPr>
              <w:t xml:space="preserve">Substance active + dosage</w:t>
            </w:r>
          </w:p>
        </w:tc>
        <w:tc>
          <w:tcPr>
            <w:tcW w:type="dxa" w:w="3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Dire ce que contient le produit et en quelle quantité.</w:t>
            </w:r>
          </w:p>
        </w:tc>
        <w:tc>
          <w:tcPr>
            <w:tcW w:type="dxa" w:w="2938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Dir. 2001/83/CE, art. 54 a) et b)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60"/>
                <w:sz w:val="19"/>
                <w:szCs w:val="19"/>
              </w:rPr>
              <w:t xml:space="preserve">3</w:t>
            </w:r>
          </w:p>
        </w:tc>
        <w:tc>
          <w:tcPr>
            <w:tcW w:type="dxa" w:w="2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19"/>
                <w:szCs w:val="19"/>
              </w:rPr>
              <w:t xml:space="preserve">Numéro de lot</w:t>
            </w:r>
          </w:p>
        </w:tc>
        <w:tc>
          <w:tcPr>
            <w:tcW w:type="dxa" w:w="3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Traçabilité : retrouver un lot précis en cas de rappel.</w:t>
            </w:r>
          </w:p>
        </w:tc>
        <w:tc>
          <w:tcPr>
            <w:tcW w:type="dxa" w:w="2938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Dir. 2001/83/CE, art. 54 m) ; art. 55 §3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60"/>
                <w:sz w:val="19"/>
                <w:szCs w:val="19"/>
              </w:rPr>
              <w:t xml:space="preserve">4</w:t>
            </w:r>
          </w:p>
        </w:tc>
        <w:tc>
          <w:tcPr>
            <w:tcW w:type="dxa" w:w="2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19"/>
                <w:szCs w:val="19"/>
              </w:rPr>
              <w:t xml:space="preserve">Dispositif anti-effraction</w:t>
            </w:r>
          </w:p>
        </w:tc>
        <w:tc>
          <w:tcPr>
            <w:tcW w:type="dxa" w:w="3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Prouver que l'emballage n'a pas été ouvert. Va sur la boîte (emballage extérieur).</w:t>
            </w:r>
          </w:p>
        </w:tc>
        <w:tc>
          <w:tcPr>
            <w:tcW w:type="dxa" w:w="2938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Dir. 2001/83/CE, art. 54 o) ; Règl. délégué (UE) 2016/161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60"/>
                <w:sz w:val="19"/>
                <w:szCs w:val="19"/>
              </w:rPr>
              <w:t xml:space="preserve">5</w:t>
            </w:r>
          </w:p>
        </w:tc>
        <w:tc>
          <w:tcPr>
            <w:tcW w:type="dxa" w:w="2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19"/>
                <w:szCs w:val="19"/>
              </w:rPr>
              <w:t xml:space="preserve">Code 2D unique</w:t>
            </w:r>
          </w:p>
        </w:tc>
        <w:tc>
          <w:tcPr>
            <w:tcW w:type="dxa" w:w="3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Vérifier l'authenticité de chaque boîte. Va sur la boîte (emballage extérieur).</w:t>
            </w:r>
          </w:p>
        </w:tc>
        <w:tc>
          <w:tcPr>
            <w:tcW w:type="dxa" w:w="2938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Dir. 2001/83/CE, art. 54 o) ; Règl. délégué (UE) 2016/161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60"/>
                <w:sz w:val="19"/>
                <w:szCs w:val="19"/>
              </w:rPr>
              <w:t xml:space="preserve">6</w:t>
            </w:r>
          </w:p>
        </w:tc>
        <w:tc>
          <w:tcPr>
            <w:tcW w:type="dxa" w:w="2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19"/>
                <w:szCs w:val="19"/>
              </w:rPr>
              <w:t xml:space="preserve">Péremption + conservation</w:t>
            </w:r>
          </w:p>
        </w:tc>
        <w:tc>
          <w:tcPr>
            <w:tcW w:type="dxa" w:w="3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Date en clair (mois/année) et précautions de conservation.</w:t>
            </w:r>
          </w:p>
        </w:tc>
        <w:tc>
          <w:tcPr>
            <w:tcW w:type="dxa" w:w="2938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3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Dir. 2001/83/CE, art. 54 h) et i) ; art. 55 §3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60"/>
                <w:sz w:val="19"/>
                <w:szCs w:val="19"/>
              </w:rPr>
              <w:t xml:space="preserve">7</w:t>
            </w:r>
          </w:p>
        </w:tc>
        <w:tc>
          <w:tcPr>
            <w:tcW w:type="dxa" w:w="2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19"/>
                <w:szCs w:val="19"/>
              </w:rPr>
              <w:t xml:space="preserve">Hors de portée des enfants</w:t>
            </w:r>
          </w:p>
        </w:tc>
        <w:tc>
          <w:tcPr>
            <w:tcW w:type="dxa" w:w="3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Avertissement obligatoire.</w:t>
            </w:r>
          </w:p>
        </w:tc>
        <w:tc>
          <w:tcPr>
            <w:tcW w:type="dxa" w:w="2938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70B1A"/>
                <w:sz w:val="19"/>
                <w:szCs w:val="19"/>
              </w:rPr>
              <w:t xml:space="preserve">Dir. 2001/83/CE, art. 54 f)</w:t>
            </w:r>
          </w:p>
        </w:tc>
      </w:tr>
    </w:tbl>
    <w:p>
      <w:pPr>
        <w:pStyle w:val="Heading2"/>
        <w:keepNext/>
        <w:spacing w:after="160" w:before="360"/>
      </w:pPr>
      <w:r>
        <w:rPr>
          <w:rFonts w:ascii="Arial" w:cs="Arial" w:eastAsia="Arial" w:hAnsi="Arial"/>
          <w:b/>
          <w:bCs/>
          <w:color w:val="14204A"/>
          <w:sz w:val="28"/>
          <w:szCs w:val="28"/>
        </w:rPr>
        <w:t xml:space="preserve">Fiole ou boîte : qui porte quoi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70B1A"/>
          <w:sz w:val="21"/>
          <w:szCs w:val="21"/>
        </w:rPr>
        <w:t xml:space="preserve">La fiole </w:t>
      </w:r>
      <w:r>
        <w:rPr>
          <w:rFonts w:ascii="Arial" w:cs="Arial" w:eastAsia="Arial" w:hAnsi="Arial"/>
          <w:color w:val="070B1A"/>
          <w:sz w:val="21"/>
          <w:szCs w:val="21"/>
        </w:rPr>
        <w:t xml:space="preserve">(conditionnement primaire) est un petit contenant : la directive autorise un minimum de mentions — nom du produit, voie et mode d'administration, date de péremption, numéro de lot et contenu (art. 55 §3).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70B1A"/>
          <w:sz w:val="21"/>
          <w:szCs w:val="21"/>
        </w:rPr>
        <w:t xml:space="preserve">La boîte </w:t>
      </w:r>
      <w:r>
        <w:rPr>
          <w:rFonts w:ascii="Arial" w:cs="Arial" w:eastAsia="Arial" w:hAnsi="Arial"/>
          <w:color w:val="070B1A"/>
          <w:sz w:val="21"/>
          <w:szCs w:val="21"/>
        </w:rPr>
        <w:t xml:space="preserve">(emballage extérieur) porte la liste complète de l'article 54, dont le code 2D unique et le dispositif anti-effraction (Règlement délégué 2016/161, appliqué depuis le 9 février 2019).</w:t>
      </w:r>
    </w:p>
    <w:p>
      <w:pPr>
        <w:pStyle w:val="Heading2"/>
        <w:keepNext/>
        <w:spacing w:after="160" w:before="360"/>
      </w:pPr>
      <w:r>
        <w:rPr>
          <w:rFonts w:ascii="Arial" w:cs="Arial" w:eastAsia="Arial" w:hAnsi="Arial"/>
          <w:b/>
          <w:bCs/>
          <w:color w:val="14204A"/>
          <w:sz w:val="28"/>
          <w:szCs w:val="28"/>
        </w:rPr>
        <w:t xml:space="preserve">Comment personnaliser la maquette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70B1A"/>
          <w:sz w:val="21"/>
          <w:szCs w:val="21"/>
        </w:rPr>
        <w:t xml:space="preserve">Clique dans un texte pour le modifier : nom du produit, champs entre crochets, numéro de lot,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70B1A"/>
          <w:sz w:val="21"/>
          <w:szCs w:val="21"/>
        </w:rPr>
        <w:t xml:space="preserve">Pour une autre référence de la gamme (IZAM Derma, IZAM Articula…), copie-colle le tableau de l'étiquette et change le nom.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70B1A"/>
          <w:sz w:val="21"/>
          <w:szCs w:val="21"/>
        </w:rPr>
        <w:t xml:space="preserve">Couleurs : clique dans une cellule, puis Création de tableau › Trame de fond, et utilise les codes de la palette ci-dessous.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70B1A"/>
          <w:sz w:val="21"/>
          <w:szCs w:val="21"/>
        </w:rPr>
        <w:t xml:space="preserve">Garde la mention « MAQUETTE FICTIVE » : le document reste une maquette de projet étudiant.</w:t>
      </w:r>
    </w:p>
    <w:p>
      <w:pPr>
        <w:pStyle w:val="Heading2"/>
        <w:keepNext/>
        <w:spacing w:after="160" w:before="360"/>
      </w:pPr>
      <w:r>
        <w:rPr>
          <w:rFonts w:ascii="Arial" w:cs="Arial" w:eastAsia="Arial" w:hAnsi="Arial"/>
          <w:b/>
          <w:bCs/>
          <w:color w:val="14204A"/>
          <w:sz w:val="28"/>
          <w:szCs w:val="28"/>
        </w:rPr>
        <w:t xml:space="preserve">Palette IZAMPEPTIDE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10"/>
        <w:gridCol w:w="2409"/>
        <w:gridCol w:w="2410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B1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#070B1A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E1C2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20"/>
                <w:szCs w:val="20"/>
              </w:rPr>
              <w:t xml:space="preserve">Turquoise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70B1A"/>
                <w:sz w:val="18"/>
                <w:szCs w:val="18"/>
              </w:rPr>
              <w:t xml:space="preserve">#2DE1C2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#8B5CF6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72B6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70B1A"/>
                <w:sz w:val="20"/>
                <w:szCs w:val="20"/>
              </w:rPr>
              <w:t xml:space="preserve">Rose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70B1A"/>
                <w:sz w:val="18"/>
                <w:szCs w:val="18"/>
              </w:rPr>
              <w:t xml:space="preserve">#F472B6</w:t>
            </w:r>
          </w:p>
        </w:tc>
      </w:tr>
    </w:tbl>
    <w:p>
      <w:pPr>
        <w:pStyle w:val="Heading2"/>
        <w:keepNext/>
        <w:spacing w:after="160" w:before="360"/>
      </w:pPr>
      <w:r>
        <w:rPr>
          <w:rFonts w:ascii="Arial" w:cs="Arial" w:eastAsia="Arial" w:hAnsi="Arial"/>
          <w:b/>
          <w:bCs/>
          <w:color w:val="14204A"/>
          <w:sz w:val="28"/>
          <w:szCs w:val="28"/>
        </w:rPr>
        <w:t xml:space="preserve">Sources</w:t>
      </w:r>
    </w:p>
    <w:p>
      <w:pPr>
        <w:spacing w:after="80" w:before="0"/>
      </w:pPr>
      <w:hyperlink w:history="1" r:id="rIdbnwy2hxai9uojidamcfwv">
        <w:r>
          <w:rPr>
            <w:rFonts w:ascii="Arial" w:cs="Arial" w:eastAsia="Arial" w:hAnsi="Arial"/>
            <w:color w:val="0B6E60"/>
            <w:sz w:val="20"/>
            <w:szCs w:val="20"/>
            <w:u w:val="single"/>
          </w:rPr>
          <w:t xml:space="preserve">Directive 2001/83/CE — texte consolidé (EUR-Lex)</w:t>
        </w:r>
      </w:hyperlink>
    </w:p>
    <w:p>
      <w:pPr>
        <w:spacing w:after="80" w:before="0"/>
      </w:pPr>
      <w:hyperlink w:history="1" r:id="rIdspipivrfdnffcinluvxjh">
        <w:r>
          <w:rPr>
            <w:rFonts w:ascii="Arial" w:cs="Arial" w:eastAsia="Arial" w:hAnsi="Arial"/>
            <w:color w:val="0B6E60"/>
            <w:sz w:val="20"/>
            <w:szCs w:val="20"/>
            <w:u w:val="single"/>
          </w:rPr>
          <w:t xml:space="preserve">Règlement délégué (UE) 2016/161 — dispositifs de sécurité (EUR-Lex)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D6480"/>
        <w:sz w:val="16"/>
        <w:szCs w:val="16"/>
      </w:rPr>
      <w:t xml:space="preserve">Marque fictive · projet étudiant · aucun produit réel   ·   Page </w:t>
    </w:r>
    <w:r>
      <w:rPr>
        <w:rFonts w:ascii="Arial" w:cs="Arial" w:eastAsia="Arial" w:hAnsi="Arial"/>
        <w:color w:val="5D64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color w:val="070B1A"/>
        <w:sz w:val="18"/>
        <w:szCs w:val="18"/>
      </w:rPr>
      <w:t xml:space="preserve">IZAM</w:t>
    </w:r>
    <w:r>
      <w:rPr>
        <w:rFonts w:ascii="Arial" w:cs="Arial" w:eastAsia="Arial" w:hAnsi="Arial"/>
        <w:b/>
        <w:bCs/>
        <w:color w:val="0B6E60"/>
        <w:sz w:val="18"/>
        <w:szCs w:val="18"/>
      </w:rPr>
      <w:t xml:space="preserve">PEPTIDE</w:t>
    </w:r>
    <w:r>
      <w:rPr>
        <w:rFonts w:ascii="Arial" w:cs="Arial" w:eastAsia="Arial" w:hAnsi="Arial"/>
        <w:color w:val="5D6480"/>
        <w:sz w:val="18"/>
        <w:szCs w:val="18"/>
      </w:rPr>
      <w:t xml:space="preserve">   ·   Projet marketing — Étiquetage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nwy2hxai9uojidamcfwv" Type="http://schemas.openxmlformats.org/officeDocument/2006/relationships/hyperlink" Target="https://eur-lex.europa.eu/legal-content/FR/TXT/?uri=CELEX%3A02001L0083-20220101" TargetMode="External"/><Relationship Id="rIdspipivrfdnffcinluvxjh" Type="http://schemas.openxmlformats.org/officeDocument/2006/relationships/hyperlink" Target="https://eur-lex.europa.eu/eli/reg_del/2016/161/oj" TargetMode="External"/><Relationship Id="rId9" Type="http://schemas.openxmlformats.org/officeDocument/2006/relationships/image" Target="media/ecc01710617e0af306a63d228d553330999f296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Maquette d'étiquette IZAMPEPTIDE</dc:title>
  <dc:creator>Projet étudiant IZAMPEPTIDE</dc:creator>
  <cp:lastModifiedBy>Un-named</cp:lastModifiedBy>
  <cp:revision>1</cp:revision>
  <dcterms:created xsi:type="dcterms:W3CDTF">2026-10-06T23:27:48.754Z</dcterms:created>
  <dcterms:modified xsi:type="dcterms:W3CDTF">2026-10-06T23:27:48.755Z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