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655E6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4F74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Should the association between the LaundryMachine class, ProgramExecutor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We discuss about some doubts that we had about the interfaces. Then we make sure that everyone have the hardwares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“IProgram” and “ICoin”</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“ILock” and “ISoap”</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“IWater” and “IMotor”</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“ITemperature” and “IBuzzer”</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r w:rsidR="001D7A4D">
              <w:t>ProgramSettings</w:t>
            </w:r>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Modified IWater and IMotor</w:t>
            </w:r>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IBuzzer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What is expected from the InstallStartHandler()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“IProgram” and “ICoin”,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“ILock” and “ISoap”</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“IWater” and “IMotor”</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“ITemperature” and “IBuzzer”</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Enumeration type for the program? Where should it be? It could be in the ProgramSettting?</w:t>
      </w:r>
    </w:p>
    <w:p w:rsidR="00F11145" w:rsidRDefault="00F11145" w:rsidP="00C17C19">
      <w:r>
        <w:t xml:space="preserve">- </w:t>
      </w:r>
      <w:r w:rsidR="0039599A">
        <w:t>Is it possible to declare an object of interface class in C++?  ILock lock or ILock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ProgrameSelect Constructor </w:t>
      </w:r>
      <w:r w:rsidR="00D63117">
        <w:t xml:space="preserve">we </w:t>
      </w:r>
      <w:r>
        <w:t xml:space="preserve">need to be provided a pointer to IProgram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rsidR="00066A6C" w:rsidRPr="00247583" w:rsidRDefault="00C728EB" w:rsidP="00066A6C">
      <w:pPr>
        <w:pStyle w:val="ListParagraph"/>
        <w:numPr>
          <w:ilvl w:val="0"/>
          <w:numId w:val="48"/>
        </w:numPr>
      </w:pPr>
      <w:r>
        <w:t>Discuss about InstallStartHandler</w:t>
      </w:r>
      <w:r w:rsidR="00066A6C">
        <w:t xml:space="preserve"> to get the working concepts of it.</w:t>
      </w:r>
    </w:p>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135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Implementation the IProgame class</w:t>
            </w:r>
            <w:r w:rsidR="009F2CE4">
              <w:t>. Investigate and implement the StubHardwareControl.cpp functions used for</w:t>
            </w:r>
            <w:r>
              <w:t xml:space="preserve"> testing the CoinWallet Class</w:t>
            </w:r>
          </w:p>
          <w:p w:rsidR="00FA1131" w:rsidRDefault="00FA1131" w:rsidP="009F2CE4">
            <w:r>
              <w:t xml:space="preserve">Sequence diagram for </w:t>
            </w:r>
            <w:r w:rsidR="0066570C">
              <w:t>IsReady() function in ProgramExecutors</w:t>
            </w:r>
          </w:p>
          <w:p w:rsidR="0066570C" w:rsidRDefault="0066570C" w:rsidP="009F2CE4">
            <w:r>
              <w:t>Stated diagram for CoinWallet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FA1131" w:rsidP="00247583">
            <w:r>
              <w:t>W</w:t>
            </w:r>
            <w:r w:rsidR="00B968CE">
              <w:t xml:space="preserve">ork on the ProgramExecutor class </w:t>
            </w:r>
            <w:r w:rsidR="00247583">
              <w:t xml:space="preserve"> </w:t>
            </w:r>
          </w:p>
          <w:p w:rsidR="00FA1131" w:rsidRDefault="00FA1131" w:rsidP="00247583">
            <w:r>
              <w:t xml:space="preserve">Making descriptions of </w:t>
            </w:r>
            <w:r w:rsidR="00C728EB">
              <w:t xml:space="preserve">Soap and Lock classes </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p w:rsidR="00FA1131" w:rsidRDefault="00FA1131" w:rsidP="00247583">
            <w:r>
              <w:t>Making descriptions of Motor and Water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ProgramSetting classes. </w:t>
            </w:r>
          </w:p>
          <w:p w:rsidR="00FA1131" w:rsidRDefault="00FA1131" w:rsidP="00EF2E21">
            <w:r>
              <w:t>Making descriptions of Temperature and Buzzer classes.</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rsidR="00247583" w:rsidRDefault="00247583" w:rsidP="00247583">
      <w:pPr>
        <w:pStyle w:val="Heading2"/>
      </w:pPr>
      <w:r>
        <w:t>NOTES:</w:t>
      </w:r>
    </w:p>
    <w:p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rsidR="009C4345" w:rsidRDefault="002E66F7" w:rsidP="00EA2C0D">
      <w:r>
        <w:t>- Then it can be compiled, but some data types like char or byte are not recognized by Codeblocks even the compiler is selected is AVR GCC</w:t>
      </w:r>
    </w:p>
    <w:p w:rsidR="00FA1131" w:rsidRDefault="00FA1131" w:rsidP="00EA2C0D">
      <w:r>
        <w:t>- When we try to run functions of CoinWallet class, the soap and lock together in the program executor via the main loop(). It turns out some unknown behaviors.</w:t>
      </w:r>
    </w:p>
    <w:p w:rsidR="00DA64E9" w:rsidRDefault="00DA64E9" w:rsidP="00EA2C0D"/>
    <w:p w:rsidR="00DA64E9" w:rsidRDefault="00DA64E9" w:rsidP="00DA64E9">
      <w:pPr>
        <w:pStyle w:val="Heading1"/>
      </w:pPr>
      <w:r>
        <w:lastRenderedPageBreak/>
        <w:t>Week 7:</w:t>
      </w:r>
    </w:p>
    <w:p w:rsidR="00DA64E9" w:rsidRDefault="00DA64E9" w:rsidP="00DA64E9">
      <w:pPr>
        <w:pStyle w:val="Heading2"/>
      </w:pPr>
      <w:r>
        <w:t>Group work:</w:t>
      </w:r>
    </w:p>
    <w:p w:rsidR="00DA64E9" w:rsidRDefault="00DA64E9" w:rsidP="00DA64E9">
      <w:pPr>
        <w:pStyle w:val="ListParagraph"/>
        <w:numPr>
          <w:ilvl w:val="0"/>
          <w:numId w:val="48"/>
        </w:numPr>
      </w:pPr>
      <w:r>
        <w:t xml:space="preserve">Compiled CoinWallet, ProgramSelect and Soap and Door via the Program executors and debugging the problems </w:t>
      </w:r>
    </w:p>
    <w:p w:rsidR="00DA64E9" w:rsidRPr="00247583" w:rsidRDefault="00DA64E9" w:rsidP="00DA64E9">
      <w:pPr>
        <w:pStyle w:val="ListParagraph"/>
        <w:numPr>
          <w:ilvl w:val="0"/>
          <w:numId w:val="48"/>
        </w:numPr>
      </w:pPr>
      <w:r>
        <w:t>Discuss about InstallStartHandler to get the working concepts of it.</w:t>
      </w:r>
    </w:p>
    <w:p w:rsidR="00DA64E9" w:rsidRPr="00415206" w:rsidRDefault="00DA64E9" w:rsidP="00DA64E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DA64E9" w:rsidTr="000E0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Tasks</w:t>
            </w:r>
          </w:p>
        </w:tc>
        <w:tc>
          <w:tcPr>
            <w:tcW w:w="1350"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Status</w:t>
            </w: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536CEE" w:rsidRDefault="00536CEE" w:rsidP="00536CEE">
            <w:r>
              <w:t xml:space="preserve">Changing the base code’s data type to make sure it works for basic environment </w:t>
            </w:r>
          </w:p>
          <w:p w:rsidR="00536CEE" w:rsidRDefault="00536CEE" w:rsidP="00536CEE">
            <w:r>
              <w:t>Updating the changes on the design documents</w:t>
            </w:r>
          </w:p>
          <w:p w:rsidR="00DA64E9" w:rsidRPr="006E6B76" w:rsidRDefault="007E3653" w:rsidP="006E6B76">
            <w:pPr>
              <w:rPr>
                <w:b w:val="0"/>
                <w:bCs w:val="0"/>
              </w:rPr>
            </w:pPr>
            <w:r>
              <w:t>Do the testing for CoinWallet  class</w:t>
            </w:r>
          </w:p>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 xml:space="preserve">Work on the ProgramExecutor class  </w:t>
            </w:r>
          </w:p>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6E6B76" w:rsidRDefault="006E6B76" w:rsidP="006E6B76">
            <w:r>
              <w:t>Testing</w:t>
            </w:r>
            <w:r w:rsidR="00DA64E9">
              <w:t xml:space="preserve"> Motor and Water. </w:t>
            </w:r>
          </w:p>
          <w:p w:rsidR="006E6B76" w:rsidRPr="006E6B76" w:rsidRDefault="006E6B76" w:rsidP="006E6B76">
            <w:r>
              <w:t>Doing the ProgramExecutor class</w:t>
            </w:r>
            <w:bookmarkStart w:id="0" w:name="_GoBack"/>
            <w:bookmarkEnd w:id="0"/>
          </w:p>
          <w:p w:rsidR="00DA64E9" w:rsidRDefault="00DA64E9" w:rsidP="000E0CCE"/>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Doing</w:t>
            </w: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Done</w:t>
            </w:r>
          </w:p>
        </w:tc>
      </w:tr>
    </w:tbl>
    <w:p w:rsidR="00DA64E9" w:rsidRDefault="00DA64E9" w:rsidP="00DA64E9">
      <w:pPr>
        <w:pStyle w:val="Heading2"/>
      </w:pPr>
      <w:r>
        <w:t>NOTES:</w:t>
      </w:r>
    </w:p>
    <w:p w:rsidR="00DA64E9" w:rsidRDefault="00DA64E9" w:rsidP="00DA64E9">
      <w:r>
        <w:t>- Introduce the static variable in the hardware class to keep track the sharing data between the controlling of LEDs for coin 200 and the soap 2</w:t>
      </w:r>
    </w:p>
    <w:p w:rsidR="00DA64E9" w:rsidRDefault="00DA64E9" w:rsidP="00EA2C0D"/>
    <w:p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E6B" w:rsidRDefault="00655E6B" w:rsidP="00EB73C3">
      <w:pPr>
        <w:spacing w:after="0" w:line="240" w:lineRule="auto"/>
      </w:pPr>
      <w:r>
        <w:separator/>
      </w:r>
    </w:p>
  </w:endnote>
  <w:endnote w:type="continuationSeparator" w:id="0">
    <w:p w:rsidR="00655E6B" w:rsidRDefault="00655E6B"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E6B76">
      <w:rPr>
        <w:caps/>
        <w:noProof/>
        <w:color w:val="5B9BD5" w:themeColor="accent1"/>
      </w:rPr>
      <w:t>7</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E6B" w:rsidRDefault="00655E6B" w:rsidP="00EB73C3">
      <w:pPr>
        <w:spacing w:after="0" w:line="240" w:lineRule="auto"/>
      </w:pPr>
      <w:r>
        <w:separator/>
      </w:r>
    </w:p>
  </w:footnote>
  <w:footnote w:type="continuationSeparator" w:id="0">
    <w:p w:rsidR="00655E6B" w:rsidRDefault="00655E6B"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6E6B76" w:rsidRPr="006E6B76">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6E6B76" w:rsidRPr="006E6B76">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0983"/>
    <w:rsid w:val="005E460B"/>
    <w:rsid w:val="005E6384"/>
    <w:rsid w:val="005E7D0C"/>
    <w:rsid w:val="00612405"/>
    <w:rsid w:val="006128DE"/>
    <w:rsid w:val="00626A68"/>
    <w:rsid w:val="006342A8"/>
    <w:rsid w:val="00635D87"/>
    <w:rsid w:val="0064380F"/>
    <w:rsid w:val="00655E6B"/>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E6B76"/>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C4345"/>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3244"/>
    <w:rsid w:val="00BD22E3"/>
    <w:rsid w:val="00BE05E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63117"/>
    <w:rsid w:val="00D7368C"/>
    <w:rsid w:val="00D761B0"/>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68D3"/>
    <w:rsid w:val="00E12324"/>
    <w:rsid w:val="00E13B25"/>
    <w:rsid w:val="00E60F89"/>
    <w:rsid w:val="00E764BE"/>
    <w:rsid w:val="00E91EA2"/>
    <w:rsid w:val="00EA15D0"/>
    <w:rsid w:val="00EA2C0D"/>
    <w:rsid w:val="00EA41F8"/>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D4CE9A-F1CB-412B-80A8-FC09EA9A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Huynh</cp:lastModifiedBy>
  <cp:revision>218</cp:revision>
  <dcterms:created xsi:type="dcterms:W3CDTF">2016-02-15T20:47:00Z</dcterms:created>
  <dcterms:modified xsi:type="dcterms:W3CDTF">2017-01-16T19:26:00Z</dcterms:modified>
</cp:coreProperties>
</file>