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0943" w:rsidRDefault="00FC0943"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lang w:val="en-GB"/>
        </w:rPr>
      </w:pPr>
    </w:p>
    <w:p w:rsidR="00BE510B" w:rsidRDefault="00BE510B"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lang w:val="en-GB"/>
        </w:rPr>
      </w:pPr>
      <w:r w:rsidRPr="007553B3">
        <w:rPr>
          <w:rFonts w:ascii="Times New Roman" w:hAnsi="Times New Roman" w:cs="Times New Roman"/>
          <w:b/>
          <w:bCs/>
          <w:color w:val="0B5AB2"/>
          <w:kern w:val="0"/>
          <w:lang w:val="en-GB"/>
        </w:rPr>
        <w:t>Analysis and Visualization of S&amp;P 500 Companies and Index through ETL Pipeline</w:t>
      </w:r>
    </w:p>
    <w:p w:rsidR="00986234" w:rsidRDefault="00986234"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lang w:val="en-GB"/>
        </w:rPr>
      </w:pPr>
    </w:p>
    <w:p w:rsidR="00986234" w:rsidRDefault="007F17DD"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r w:rsidRPr="007F17DD">
        <w:rPr>
          <w:rFonts w:ascii="Times New Roman" w:hAnsi="Times New Roman" w:cs="Times New Roman"/>
          <w:b/>
          <w:bCs/>
          <w:color w:val="0B5AB2"/>
          <w:kern w:val="0"/>
          <w:sz w:val="20"/>
          <w:szCs w:val="20"/>
          <w:lang w:val="en-GB"/>
        </w:rPr>
        <w:t>1.</w:t>
      </w:r>
      <w:r>
        <w:rPr>
          <w:rFonts w:ascii="Times New Roman" w:hAnsi="Times New Roman" w:cs="Times New Roman"/>
          <w:b/>
          <w:bCs/>
          <w:color w:val="0B5AB2"/>
          <w:kern w:val="0"/>
          <w:sz w:val="20"/>
          <w:szCs w:val="20"/>
          <w:lang w:val="en-GB"/>
        </w:rPr>
        <w:t xml:space="preserve"> </w:t>
      </w:r>
      <w:r w:rsidR="00986234" w:rsidRPr="007F17DD">
        <w:rPr>
          <w:rFonts w:ascii="Times New Roman" w:hAnsi="Times New Roman" w:cs="Times New Roman"/>
          <w:b/>
          <w:bCs/>
          <w:color w:val="0B5AB2"/>
          <w:kern w:val="0"/>
          <w:sz w:val="20"/>
          <w:szCs w:val="20"/>
          <w:lang w:val="en-GB"/>
        </w:rPr>
        <w:t>Introduction</w:t>
      </w:r>
    </w:p>
    <w:p w:rsidR="0081161C" w:rsidRDefault="0081161C"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r w:rsidRPr="0081161C">
        <w:rPr>
          <w:rFonts w:ascii="Times New Roman" w:hAnsi="Times New Roman" w:cs="Times New Roman"/>
          <w:color w:val="000000"/>
          <w:kern w:val="0"/>
          <w:sz w:val="16"/>
          <w:szCs w:val="16"/>
          <w:lang w:val="en-GB"/>
        </w:rPr>
        <w:t>The S&amp;P 500, a key financial benchmark managed by S&amp;P Dow Jones Indices, tracks the performance of 500 major U.S. companies across various industries, providing a comprehensive measure of the stock market's health and the economy. As of December 31, 2020, over $5.4 trillion was invested in assets linked to the index</w:t>
      </w:r>
      <w:r w:rsidR="00A056C4">
        <w:rPr>
          <w:rFonts w:ascii="Times New Roman" w:hAnsi="Times New Roman" w:cs="Times New Roman"/>
          <w:color w:val="000000"/>
          <w:kern w:val="0"/>
          <w:sz w:val="16"/>
          <w:szCs w:val="16"/>
          <w:lang w:val="en-GB"/>
        </w:rPr>
        <w:t xml:space="preserve"> (Reference: </w:t>
      </w:r>
      <w:hyperlink r:id="rId5" w:history="1">
        <w:r w:rsidR="00A056C4" w:rsidRPr="00A056C4">
          <w:rPr>
            <w:rStyle w:val="Hyperlink"/>
            <w:rFonts w:ascii="Times New Roman" w:hAnsi="Times New Roman" w:cs="Times New Roman"/>
            <w:kern w:val="0"/>
            <w:sz w:val="16"/>
            <w:szCs w:val="16"/>
            <w:lang w:val="en-GB"/>
          </w:rPr>
          <w:t>Link</w:t>
        </w:r>
      </w:hyperlink>
      <w:r w:rsidR="00A056C4">
        <w:rPr>
          <w:rFonts w:ascii="Times New Roman" w:hAnsi="Times New Roman" w:cs="Times New Roman"/>
          <w:color w:val="000000"/>
          <w:kern w:val="0"/>
          <w:sz w:val="16"/>
          <w:szCs w:val="16"/>
          <w:lang w:val="en-GB"/>
        </w:rPr>
        <w:t>)</w:t>
      </w:r>
      <w:r w:rsidRPr="0081161C">
        <w:rPr>
          <w:rFonts w:ascii="Times New Roman" w:hAnsi="Times New Roman" w:cs="Times New Roman"/>
          <w:color w:val="000000"/>
          <w:kern w:val="0"/>
          <w:sz w:val="16"/>
          <w:szCs w:val="16"/>
          <w:lang w:val="en-GB"/>
        </w:rPr>
        <w:t xml:space="preserve">, which includes </w:t>
      </w:r>
      <w:r>
        <w:rPr>
          <w:rFonts w:ascii="Times New Roman" w:hAnsi="Times New Roman" w:cs="Times New Roman"/>
          <w:color w:val="000000"/>
          <w:kern w:val="0"/>
          <w:sz w:val="16"/>
          <w:szCs w:val="16"/>
          <w:lang w:val="en-GB"/>
        </w:rPr>
        <w:t>big</w:t>
      </w:r>
      <w:r w:rsidRPr="0081161C">
        <w:rPr>
          <w:rFonts w:ascii="Times New Roman" w:hAnsi="Times New Roman" w:cs="Times New Roman"/>
          <w:color w:val="000000"/>
          <w:kern w:val="0"/>
          <w:sz w:val="16"/>
          <w:szCs w:val="16"/>
          <w:lang w:val="en-GB"/>
        </w:rPr>
        <w:t xml:space="preserve"> companies like Apple</w:t>
      </w:r>
      <w:r>
        <w:rPr>
          <w:rFonts w:ascii="Times New Roman" w:hAnsi="Times New Roman" w:cs="Times New Roman"/>
          <w:color w:val="000000"/>
          <w:kern w:val="0"/>
          <w:sz w:val="16"/>
          <w:szCs w:val="16"/>
          <w:lang w:val="en-GB"/>
        </w:rPr>
        <w:t>, NVIDIA</w:t>
      </w:r>
      <w:r w:rsidRPr="0081161C">
        <w:rPr>
          <w:rFonts w:ascii="Times New Roman" w:hAnsi="Times New Roman" w:cs="Times New Roman"/>
          <w:color w:val="000000"/>
          <w:kern w:val="0"/>
          <w:sz w:val="16"/>
          <w:szCs w:val="16"/>
          <w:lang w:val="en-GB"/>
        </w:rPr>
        <w:t xml:space="preserve">, Microsoft, and Tesla. Despite its name, the index comprises 505 stocks due to multiple share classes, such as Alphabet's Class A (GOOGL) and Class C (GOOG). </w:t>
      </w:r>
      <w:r w:rsidR="00EA7B2C">
        <w:rPr>
          <w:rFonts w:ascii="Times New Roman" w:hAnsi="Times New Roman" w:cs="Times New Roman"/>
          <w:color w:val="000000"/>
          <w:kern w:val="0"/>
          <w:sz w:val="16"/>
          <w:szCs w:val="16"/>
          <w:lang w:val="en-GB"/>
        </w:rPr>
        <w:t xml:space="preserve">The goal of this project is to analyse S&amp;P 500 companies and index data to retrieve insights to support data-driven decision making. </w:t>
      </w:r>
      <w:r w:rsidR="00991459">
        <w:rPr>
          <w:rFonts w:ascii="Times New Roman" w:hAnsi="Times New Roman" w:cs="Times New Roman"/>
          <w:color w:val="000000"/>
          <w:kern w:val="0"/>
          <w:sz w:val="16"/>
          <w:szCs w:val="16"/>
          <w:lang w:val="en-GB"/>
        </w:rPr>
        <w:t>For this purpose, the objective of this project is to build an ETL pipeline to extract the data</w:t>
      </w:r>
      <w:r w:rsidRPr="0081161C">
        <w:rPr>
          <w:rFonts w:ascii="Times New Roman" w:hAnsi="Times New Roman" w:cs="Times New Roman"/>
          <w:color w:val="000000"/>
          <w:kern w:val="0"/>
          <w:sz w:val="16"/>
          <w:szCs w:val="16"/>
          <w:lang w:val="en-GB"/>
        </w:rPr>
        <w:t xml:space="preserve">, analyse </w:t>
      </w:r>
      <w:r w:rsidR="00991459">
        <w:rPr>
          <w:rFonts w:ascii="Times New Roman" w:hAnsi="Times New Roman" w:cs="Times New Roman"/>
          <w:color w:val="000000"/>
          <w:kern w:val="0"/>
          <w:sz w:val="16"/>
          <w:szCs w:val="16"/>
          <w:lang w:val="en-GB"/>
        </w:rPr>
        <w:t>it</w:t>
      </w:r>
      <w:r w:rsidRPr="0081161C">
        <w:rPr>
          <w:rFonts w:ascii="Times New Roman" w:hAnsi="Times New Roman" w:cs="Times New Roman"/>
          <w:color w:val="000000"/>
          <w:kern w:val="0"/>
          <w:sz w:val="16"/>
          <w:szCs w:val="16"/>
          <w:lang w:val="en-GB"/>
        </w:rPr>
        <w:t xml:space="preserve"> to uncover trends and patterns within the S&amp;P 500</w:t>
      </w:r>
      <w:r w:rsidR="00991459">
        <w:rPr>
          <w:rFonts w:ascii="Times New Roman" w:hAnsi="Times New Roman" w:cs="Times New Roman"/>
          <w:color w:val="000000"/>
          <w:kern w:val="0"/>
          <w:sz w:val="16"/>
          <w:szCs w:val="16"/>
          <w:lang w:val="en-GB"/>
        </w:rPr>
        <w:t xml:space="preserve"> to </w:t>
      </w:r>
      <w:r w:rsidRPr="00986234">
        <w:rPr>
          <w:rFonts w:ascii="Times New Roman" w:hAnsi="Times New Roman" w:cs="Times New Roman"/>
          <w:color w:val="000000"/>
          <w:kern w:val="0"/>
          <w:sz w:val="16"/>
          <w:szCs w:val="16"/>
          <w:lang w:val="en-GB"/>
        </w:rPr>
        <w:t>equips investors and financial strategists with data-driven insights to support informed decisions on investments, portfolio management, and risk assessment in the U.S. stock market.</w:t>
      </w:r>
    </w:p>
    <w:p w:rsidR="00BE510B" w:rsidRPr="007553B3" w:rsidRDefault="00BE510B"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0"/>
          <w:szCs w:val="20"/>
          <w:lang w:val="en-GB"/>
        </w:rPr>
      </w:pPr>
    </w:p>
    <w:p w:rsidR="00BE510B" w:rsidRDefault="00DC691E"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r>
        <w:rPr>
          <w:rFonts w:ascii="Times New Roman" w:hAnsi="Times New Roman" w:cs="Times New Roman"/>
          <w:b/>
          <w:bCs/>
          <w:color w:val="0B5AB2"/>
          <w:kern w:val="0"/>
          <w:sz w:val="20"/>
          <w:szCs w:val="20"/>
          <w:lang w:val="en-GB"/>
        </w:rPr>
        <w:t>Main</w:t>
      </w:r>
      <w:r w:rsidR="00986234">
        <w:rPr>
          <w:rFonts w:ascii="Times New Roman" w:hAnsi="Times New Roman" w:cs="Times New Roman"/>
          <w:b/>
          <w:bCs/>
          <w:color w:val="0B5AB2"/>
          <w:kern w:val="0"/>
          <w:sz w:val="20"/>
          <w:szCs w:val="20"/>
          <w:lang w:val="en-GB"/>
        </w:rPr>
        <w:t xml:space="preserve"> </w:t>
      </w:r>
      <w:r w:rsidR="00BE510B" w:rsidRPr="00986234">
        <w:rPr>
          <w:rFonts w:ascii="Times New Roman" w:hAnsi="Times New Roman" w:cs="Times New Roman"/>
          <w:b/>
          <w:bCs/>
          <w:color w:val="0B5AB2"/>
          <w:kern w:val="0"/>
          <w:sz w:val="20"/>
          <w:szCs w:val="20"/>
          <w:lang w:val="en-GB"/>
        </w:rPr>
        <w:t>Question</w:t>
      </w:r>
    </w:p>
    <w:p w:rsidR="00753A8C" w:rsidRDefault="00753A8C"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p>
    <w:p w:rsidR="00F5093A" w:rsidRPr="00986234" w:rsidRDefault="00BE510B"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r w:rsidRPr="00986234">
        <w:rPr>
          <w:rFonts w:ascii="Times New Roman" w:hAnsi="Times New Roman" w:cs="Times New Roman"/>
          <w:color w:val="000000"/>
          <w:kern w:val="0"/>
          <w:sz w:val="16"/>
          <w:szCs w:val="16"/>
          <w:lang w:val="en-GB"/>
        </w:rPr>
        <w:t>What sectors demonstrate the highest market capitalization and revenue growth in the S&amp;P 500, and how do they compare in</w:t>
      </w:r>
      <w:r w:rsidR="00F5093A" w:rsidRPr="00986234">
        <w:rPr>
          <w:rFonts w:ascii="Times New Roman" w:hAnsi="Times New Roman" w:cs="Times New Roman"/>
          <w:color w:val="000000"/>
          <w:kern w:val="0"/>
          <w:sz w:val="16"/>
          <w:szCs w:val="16"/>
          <w:lang w:val="en-GB"/>
        </w:rPr>
        <w:t xml:space="preserve"> </w:t>
      </w:r>
      <w:r w:rsidRPr="00986234">
        <w:rPr>
          <w:rFonts w:ascii="Times New Roman" w:hAnsi="Times New Roman" w:cs="Times New Roman"/>
          <w:color w:val="000000"/>
          <w:kern w:val="0"/>
          <w:sz w:val="16"/>
          <w:szCs w:val="16"/>
          <w:lang w:val="en-GB"/>
        </w:rPr>
        <w:t>terms of EBITDA and employee count?</w:t>
      </w:r>
    </w:p>
    <w:p w:rsidR="00F5093A" w:rsidRPr="007553B3" w:rsidRDefault="00F5093A"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8"/>
          <w:szCs w:val="18"/>
          <w:lang w:val="en-GB"/>
        </w:rPr>
      </w:pPr>
    </w:p>
    <w:p w:rsidR="00BE510B" w:rsidRDefault="007F17DD"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r>
        <w:rPr>
          <w:rFonts w:ascii="Times New Roman" w:hAnsi="Times New Roman" w:cs="Times New Roman"/>
          <w:b/>
          <w:bCs/>
          <w:color w:val="0B5AB2"/>
          <w:kern w:val="0"/>
          <w:sz w:val="20"/>
          <w:szCs w:val="20"/>
          <w:lang w:val="en-GB"/>
        </w:rPr>
        <w:t xml:space="preserve">2. </w:t>
      </w:r>
      <w:r w:rsidR="00BE510B" w:rsidRPr="00986234">
        <w:rPr>
          <w:rFonts w:ascii="Times New Roman" w:hAnsi="Times New Roman" w:cs="Times New Roman"/>
          <w:b/>
          <w:bCs/>
          <w:color w:val="0B5AB2"/>
          <w:kern w:val="0"/>
          <w:sz w:val="20"/>
          <w:szCs w:val="20"/>
          <w:lang w:val="en-GB"/>
        </w:rPr>
        <w:t>ETL Pipeline</w:t>
      </w:r>
      <w:r w:rsidR="00F5093A" w:rsidRPr="00986234">
        <w:rPr>
          <w:rFonts w:ascii="Times New Roman" w:hAnsi="Times New Roman" w:cs="Times New Roman"/>
          <w:b/>
          <w:bCs/>
          <w:color w:val="0B5AB2"/>
          <w:kern w:val="0"/>
          <w:sz w:val="20"/>
          <w:szCs w:val="20"/>
          <w:lang w:val="en-GB"/>
        </w:rPr>
        <w:t xml:space="preserve"> and Final Data</w:t>
      </w:r>
    </w:p>
    <w:p w:rsidR="00222B12" w:rsidRDefault="00222B12"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p>
    <w:p w:rsidR="0037685C" w:rsidRPr="0037685C" w:rsidRDefault="0037685C" w:rsidP="00376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r w:rsidRPr="0037685C">
        <w:rPr>
          <w:rFonts w:ascii="Times New Roman" w:hAnsi="Times New Roman" w:cs="Times New Roman"/>
          <w:color w:val="000000"/>
          <w:kern w:val="0"/>
          <w:sz w:val="16"/>
          <w:szCs w:val="16"/>
          <w:lang w:val="en-GB"/>
        </w:rPr>
        <w:t xml:space="preserve">The data pipeline </w:t>
      </w:r>
      <w:r>
        <w:rPr>
          <w:rFonts w:ascii="Times New Roman" w:hAnsi="Times New Roman" w:cs="Times New Roman"/>
          <w:color w:val="000000"/>
          <w:kern w:val="0"/>
          <w:sz w:val="16"/>
          <w:szCs w:val="16"/>
          <w:lang w:val="en-GB"/>
        </w:rPr>
        <w:t xml:space="preserve">is </w:t>
      </w:r>
      <w:r w:rsidR="00D41AAE">
        <w:rPr>
          <w:rFonts w:ascii="Times New Roman" w:hAnsi="Times New Roman" w:cs="Times New Roman"/>
          <w:color w:val="000000"/>
          <w:kern w:val="0"/>
          <w:sz w:val="16"/>
          <w:szCs w:val="16"/>
          <w:lang w:val="en-GB"/>
        </w:rPr>
        <w:t>developed</w:t>
      </w:r>
      <w:r w:rsidRPr="0037685C">
        <w:rPr>
          <w:rFonts w:ascii="Times New Roman" w:hAnsi="Times New Roman" w:cs="Times New Roman"/>
          <w:color w:val="000000"/>
          <w:kern w:val="0"/>
          <w:sz w:val="16"/>
          <w:szCs w:val="16"/>
          <w:lang w:val="en-GB"/>
        </w:rPr>
        <w:t xml:space="preserve"> to extract data from Kaggle using the Kaggle API and store it in an SQLite database. Upon execution, the pipeline creates two tables: one for S&amp;P 500 companies and another for the S&amp;P</w:t>
      </w:r>
      <w:r>
        <w:rPr>
          <w:rFonts w:ascii="Times New Roman" w:hAnsi="Times New Roman" w:cs="Times New Roman"/>
          <w:color w:val="000000"/>
          <w:kern w:val="0"/>
          <w:sz w:val="16"/>
          <w:szCs w:val="16"/>
          <w:lang w:val="en-GB"/>
        </w:rPr>
        <w:t xml:space="preserve"> 500</w:t>
      </w:r>
      <w:r w:rsidRPr="0037685C">
        <w:rPr>
          <w:rFonts w:ascii="Times New Roman" w:hAnsi="Times New Roman" w:cs="Times New Roman"/>
          <w:color w:val="000000"/>
          <w:kern w:val="0"/>
          <w:sz w:val="16"/>
          <w:szCs w:val="16"/>
          <w:lang w:val="en-GB"/>
        </w:rPr>
        <w:t xml:space="preserve"> index. This pipeline operates on a batch basis, updating the data daily, ensuring it remains current and reflective of changes in the data source. The pipeline's design is robust enough to handle variations in the source data, ensuring consistent performance and reliability.</w:t>
      </w:r>
    </w:p>
    <w:p w:rsidR="00986234" w:rsidRDefault="00986234"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lang w:val="en-GB"/>
        </w:rPr>
      </w:pPr>
    </w:p>
    <w:tbl>
      <w:tblPr>
        <w:tblStyle w:val="TableGrid"/>
        <w:tblW w:w="0" w:type="auto"/>
        <w:tblLook w:val="04A0" w:firstRow="1" w:lastRow="0" w:firstColumn="1" w:lastColumn="0" w:noHBand="0" w:noVBand="1"/>
      </w:tblPr>
      <w:tblGrid>
        <w:gridCol w:w="1803"/>
        <w:gridCol w:w="1803"/>
        <w:gridCol w:w="1209"/>
        <w:gridCol w:w="2397"/>
        <w:gridCol w:w="1804"/>
      </w:tblGrid>
      <w:tr w:rsidR="00986234" w:rsidTr="00C64F0E">
        <w:tc>
          <w:tcPr>
            <w:tcW w:w="1803" w:type="dxa"/>
          </w:tcPr>
          <w:p w:rsidR="00986234" w:rsidRPr="00986234" w:rsidRDefault="00986234" w:rsidP="00C64F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B5AB2"/>
                <w:kern w:val="0"/>
                <w:sz w:val="16"/>
                <w:szCs w:val="16"/>
                <w:lang w:val="en-GB"/>
              </w:rPr>
            </w:pPr>
            <w:r w:rsidRPr="00986234">
              <w:rPr>
                <w:rFonts w:ascii="Times New Roman" w:hAnsi="Times New Roman" w:cs="Times New Roman"/>
                <w:b/>
                <w:bCs/>
                <w:color w:val="0B5AB2"/>
                <w:kern w:val="0"/>
                <w:sz w:val="16"/>
                <w:szCs w:val="16"/>
                <w:lang w:val="en-GB"/>
              </w:rPr>
              <w:t>Datasets</w:t>
            </w:r>
          </w:p>
        </w:tc>
        <w:tc>
          <w:tcPr>
            <w:tcW w:w="1803" w:type="dxa"/>
          </w:tcPr>
          <w:p w:rsidR="00986234" w:rsidRPr="00986234" w:rsidRDefault="00986234" w:rsidP="00C64F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B5AB2"/>
                <w:kern w:val="0"/>
                <w:sz w:val="16"/>
                <w:szCs w:val="16"/>
                <w:lang w:val="en-GB"/>
              </w:rPr>
            </w:pPr>
            <w:r w:rsidRPr="00986234">
              <w:rPr>
                <w:rFonts w:ascii="Times New Roman" w:hAnsi="Times New Roman" w:cs="Times New Roman"/>
                <w:b/>
                <w:bCs/>
                <w:color w:val="0B5AB2"/>
                <w:kern w:val="0"/>
                <w:sz w:val="16"/>
                <w:szCs w:val="16"/>
                <w:lang w:val="en-GB"/>
              </w:rPr>
              <w:t>License</w:t>
            </w:r>
          </w:p>
        </w:tc>
        <w:tc>
          <w:tcPr>
            <w:tcW w:w="1209" w:type="dxa"/>
          </w:tcPr>
          <w:p w:rsidR="00986234" w:rsidRDefault="00986234" w:rsidP="00C64F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B5AB2"/>
                <w:kern w:val="0"/>
                <w:lang w:val="en-GB"/>
              </w:rPr>
            </w:pPr>
            <w:r w:rsidRPr="00986234">
              <w:rPr>
                <w:rFonts w:ascii="Times New Roman" w:hAnsi="Times New Roman" w:cs="Times New Roman"/>
                <w:b/>
                <w:bCs/>
                <w:color w:val="0B5AB2"/>
                <w:kern w:val="0"/>
                <w:sz w:val="16"/>
                <w:szCs w:val="16"/>
                <w:lang w:val="en-GB"/>
              </w:rPr>
              <w:t>Data</w:t>
            </w:r>
            <w:r>
              <w:rPr>
                <w:rFonts w:ascii="Times New Roman" w:hAnsi="Times New Roman" w:cs="Times New Roman"/>
                <w:b/>
                <w:bCs/>
                <w:color w:val="0B5AB2"/>
                <w:kern w:val="0"/>
                <w:lang w:val="en-GB"/>
              </w:rPr>
              <w:t xml:space="preserve"> </w:t>
            </w:r>
            <w:r w:rsidRPr="00986234">
              <w:rPr>
                <w:rFonts w:ascii="Times New Roman" w:hAnsi="Times New Roman" w:cs="Times New Roman"/>
                <w:b/>
                <w:bCs/>
                <w:color w:val="0B5AB2"/>
                <w:kern w:val="0"/>
                <w:sz w:val="16"/>
                <w:szCs w:val="16"/>
                <w:lang w:val="en-GB"/>
              </w:rPr>
              <w:t>Format</w:t>
            </w:r>
          </w:p>
        </w:tc>
        <w:tc>
          <w:tcPr>
            <w:tcW w:w="2397" w:type="dxa"/>
          </w:tcPr>
          <w:p w:rsidR="00986234" w:rsidRDefault="00986234" w:rsidP="00C64F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B5AB2"/>
                <w:kern w:val="0"/>
                <w:lang w:val="en-GB"/>
              </w:rPr>
            </w:pPr>
            <w:r w:rsidRPr="00986234">
              <w:rPr>
                <w:rFonts w:ascii="Times New Roman" w:hAnsi="Times New Roman" w:cs="Times New Roman"/>
                <w:b/>
                <w:bCs/>
                <w:color w:val="0B5AB2"/>
                <w:kern w:val="0"/>
                <w:sz w:val="16"/>
                <w:szCs w:val="16"/>
                <w:lang w:val="en-GB"/>
              </w:rPr>
              <w:t>Descriptive</w:t>
            </w:r>
            <w:r>
              <w:rPr>
                <w:rFonts w:ascii="Times New Roman" w:hAnsi="Times New Roman" w:cs="Times New Roman"/>
                <w:b/>
                <w:bCs/>
                <w:color w:val="0B5AB2"/>
                <w:kern w:val="0"/>
                <w:lang w:val="en-GB"/>
              </w:rPr>
              <w:t xml:space="preserve"> </w:t>
            </w:r>
            <w:r w:rsidRPr="00986234">
              <w:rPr>
                <w:rFonts w:ascii="Times New Roman" w:hAnsi="Times New Roman" w:cs="Times New Roman"/>
                <w:b/>
                <w:bCs/>
                <w:color w:val="0B5AB2"/>
                <w:kern w:val="0"/>
                <w:sz w:val="16"/>
                <w:szCs w:val="16"/>
                <w:lang w:val="en-GB"/>
              </w:rPr>
              <w:t>Columns</w:t>
            </w:r>
          </w:p>
        </w:tc>
        <w:tc>
          <w:tcPr>
            <w:tcW w:w="1804" w:type="dxa"/>
          </w:tcPr>
          <w:p w:rsidR="00986234" w:rsidRDefault="00986234" w:rsidP="00C64F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B5AB2"/>
                <w:kern w:val="0"/>
                <w:lang w:val="en-GB"/>
              </w:rPr>
            </w:pPr>
            <w:r w:rsidRPr="00986234">
              <w:rPr>
                <w:rFonts w:ascii="Times New Roman" w:hAnsi="Times New Roman" w:cs="Times New Roman"/>
                <w:b/>
                <w:bCs/>
                <w:color w:val="0B5AB2"/>
                <w:kern w:val="0"/>
                <w:sz w:val="16"/>
                <w:szCs w:val="16"/>
                <w:lang w:val="en-GB"/>
              </w:rPr>
              <w:t>Numerical</w:t>
            </w:r>
            <w:r>
              <w:rPr>
                <w:rFonts w:ascii="Times New Roman" w:hAnsi="Times New Roman" w:cs="Times New Roman"/>
                <w:b/>
                <w:bCs/>
                <w:color w:val="0B5AB2"/>
                <w:kern w:val="0"/>
                <w:lang w:val="en-GB"/>
              </w:rPr>
              <w:t xml:space="preserve"> </w:t>
            </w:r>
            <w:r w:rsidRPr="00986234">
              <w:rPr>
                <w:rFonts w:ascii="Times New Roman" w:hAnsi="Times New Roman" w:cs="Times New Roman"/>
                <w:b/>
                <w:bCs/>
                <w:color w:val="0B5AB2"/>
                <w:kern w:val="0"/>
                <w:sz w:val="16"/>
                <w:szCs w:val="16"/>
                <w:lang w:val="en-GB"/>
              </w:rPr>
              <w:t>Columns</w:t>
            </w:r>
          </w:p>
        </w:tc>
      </w:tr>
      <w:tr w:rsidR="00986234" w:rsidTr="00C64F0E">
        <w:tc>
          <w:tcPr>
            <w:tcW w:w="1803" w:type="dxa"/>
          </w:tcPr>
          <w:p w:rsidR="00986234" w:rsidRDefault="00986234" w:rsidP="00C64F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B5AB2"/>
                <w:kern w:val="0"/>
                <w:sz w:val="13"/>
                <w:szCs w:val="13"/>
                <w:lang w:val="en-GB"/>
              </w:rPr>
            </w:pPr>
            <w:r w:rsidRPr="00BA7459">
              <w:rPr>
                <w:rFonts w:ascii="Times New Roman" w:hAnsi="Times New Roman" w:cs="Times New Roman"/>
                <w:color w:val="0B5AB2"/>
                <w:kern w:val="0"/>
                <w:sz w:val="13"/>
                <w:szCs w:val="13"/>
                <w:lang w:val="en-GB"/>
              </w:rPr>
              <w:t xml:space="preserve">Dataset </w:t>
            </w:r>
            <w:r w:rsidR="00C64F0E" w:rsidRPr="00BA7459">
              <w:rPr>
                <w:rFonts w:ascii="Times New Roman" w:hAnsi="Times New Roman" w:cs="Times New Roman"/>
                <w:color w:val="0B5AB2"/>
                <w:kern w:val="0"/>
                <w:sz w:val="13"/>
                <w:szCs w:val="13"/>
                <w:lang w:val="en-GB"/>
              </w:rPr>
              <w:t>-</w:t>
            </w:r>
            <w:r w:rsidRPr="00BA7459">
              <w:rPr>
                <w:rFonts w:ascii="Times New Roman" w:hAnsi="Times New Roman" w:cs="Times New Roman"/>
                <w:color w:val="0B5AB2"/>
                <w:kern w:val="0"/>
                <w:sz w:val="13"/>
                <w:szCs w:val="13"/>
                <w:lang w:val="en-GB"/>
              </w:rPr>
              <w:t xml:space="preserve"> 1 </w:t>
            </w:r>
          </w:p>
          <w:p w:rsidR="00BA7459" w:rsidRPr="00BA7459" w:rsidRDefault="00BA7459" w:rsidP="00C64F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B5AB2"/>
                <w:kern w:val="0"/>
                <w:sz w:val="13"/>
                <w:szCs w:val="13"/>
                <w:lang w:val="en-GB"/>
              </w:rPr>
            </w:pPr>
            <w:r>
              <w:rPr>
                <w:rFonts w:ascii="Times New Roman" w:hAnsi="Times New Roman" w:cs="Times New Roman"/>
                <w:color w:val="0B5AB2"/>
                <w:kern w:val="0"/>
                <w:sz w:val="13"/>
                <w:szCs w:val="13"/>
                <w:lang w:val="en-GB"/>
              </w:rPr>
              <w:t>S&amp;P 500 Companies data</w:t>
            </w:r>
          </w:p>
        </w:tc>
        <w:tc>
          <w:tcPr>
            <w:tcW w:w="1803" w:type="dxa"/>
          </w:tcPr>
          <w:p w:rsidR="00986234" w:rsidRPr="00BA7459" w:rsidRDefault="00000000" w:rsidP="00C64F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B5AB2"/>
                <w:kern w:val="0"/>
                <w:sz w:val="13"/>
                <w:szCs w:val="13"/>
                <w:lang w:val="en-GB"/>
              </w:rPr>
            </w:pPr>
            <w:hyperlink r:id="rId6" w:history="1">
              <w:r w:rsidR="00C64F0E" w:rsidRPr="00BA7459">
                <w:rPr>
                  <w:rStyle w:val="Hyperlink"/>
                  <w:rFonts w:ascii="Times New Roman" w:hAnsi="Times New Roman" w:cs="Times New Roman"/>
                  <w:kern w:val="0"/>
                  <w:sz w:val="13"/>
                  <w:szCs w:val="13"/>
                  <w:lang w:val="en-GB"/>
                </w:rPr>
                <w:t>CC0 1.0: Public Domain</w:t>
              </w:r>
            </w:hyperlink>
          </w:p>
        </w:tc>
        <w:tc>
          <w:tcPr>
            <w:tcW w:w="1209" w:type="dxa"/>
          </w:tcPr>
          <w:p w:rsidR="00986234" w:rsidRPr="00BA7459" w:rsidRDefault="00986234" w:rsidP="00C64F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B5AB2"/>
                <w:kern w:val="0"/>
                <w:sz w:val="13"/>
                <w:szCs w:val="13"/>
                <w:lang w:val="en-GB"/>
              </w:rPr>
            </w:pPr>
            <w:r w:rsidRPr="00BA7459">
              <w:rPr>
                <w:rFonts w:ascii="Times New Roman" w:hAnsi="Times New Roman" w:cs="Times New Roman"/>
                <w:color w:val="0B5AB2"/>
                <w:kern w:val="0"/>
                <w:sz w:val="13"/>
                <w:szCs w:val="13"/>
                <w:lang w:val="en-GB"/>
              </w:rPr>
              <w:t>CSV</w:t>
            </w:r>
          </w:p>
        </w:tc>
        <w:tc>
          <w:tcPr>
            <w:tcW w:w="2397" w:type="dxa"/>
          </w:tcPr>
          <w:p w:rsidR="00986234" w:rsidRPr="00712A17" w:rsidRDefault="00712A17" w:rsidP="00712A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B5AB2"/>
                <w:kern w:val="0"/>
                <w:sz w:val="13"/>
                <w:szCs w:val="13"/>
                <w:lang w:val="en-GB"/>
              </w:rPr>
            </w:pPr>
            <w:r>
              <w:rPr>
                <w:rFonts w:ascii="Times New Roman" w:hAnsi="Times New Roman" w:cs="Times New Roman"/>
                <w:color w:val="0B5AB2"/>
                <w:kern w:val="0"/>
                <w:sz w:val="13"/>
                <w:szCs w:val="13"/>
                <w:lang w:val="en-GB"/>
              </w:rPr>
              <w:t xml:space="preserve">Exchange, Symbol, Shortname, Long name, Sector, Industry, City, State, Country, </w:t>
            </w:r>
            <w:r w:rsidRPr="00712A17">
              <w:rPr>
                <w:rFonts w:ascii="Times New Roman" w:hAnsi="Times New Roman" w:cs="Times New Roman"/>
                <w:color w:val="0B5AB2"/>
                <w:kern w:val="0"/>
                <w:sz w:val="13"/>
                <w:szCs w:val="13"/>
                <w:lang w:val="en-GB"/>
              </w:rPr>
              <w:t>Longbusinesssummary</w:t>
            </w:r>
          </w:p>
        </w:tc>
        <w:tc>
          <w:tcPr>
            <w:tcW w:w="1804" w:type="dxa"/>
          </w:tcPr>
          <w:p w:rsidR="00986234" w:rsidRPr="00712A17" w:rsidRDefault="00712A17" w:rsidP="00712A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B5AB2"/>
                <w:kern w:val="0"/>
                <w:sz w:val="13"/>
                <w:szCs w:val="13"/>
                <w:lang w:val="en-GB"/>
              </w:rPr>
            </w:pPr>
            <w:r w:rsidRPr="00712A17">
              <w:rPr>
                <w:rFonts w:ascii="Times New Roman" w:hAnsi="Times New Roman" w:cs="Times New Roman"/>
                <w:color w:val="0B5AB2"/>
                <w:kern w:val="0"/>
                <w:sz w:val="13"/>
                <w:szCs w:val="13"/>
                <w:lang w:val="en-GB"/>
              </w:rPr>
              <w:t>Currentprice, Marketcap, Ebitda, Revenue growth, Fulltime employees, Weight</w:t>
            </w:r>
          </w:p>
        </w:tc>
      </w:tr>
      <w:tr w:rsidR="00C64F0E" w:rsidTr="00C64F0E">
        <w:tc>
          <w:tcPr>
            <w:tcW w:w="1803" w:type="dxa"/>
          </w:tcPr>
          <w:p w:rsidR="00C64F0E" w:rsidRDefault="00C64F0E" w:rsidP="00C64F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B5AB2"/>
                <w:kern w:val="0"/>
                <w:sz w:val="13"/>
                <w:szCs w:val="13"/>
                <w:lang w:val="en-GB"/>
              </w:rPr>
            </w:pPr>
            <w:r w:rsidRPr="00BA7459">
              <w:rPr>
                <w:rFonts w:ascii="Times New Roman" w:hAnsi="Times New Roman" w:cs="Times New Roman"/>
                <w:color w:val="0B5AB2"/>
                <w:kern w:val="0"/>
                <w:sz w:val="13"/>
                <w:szCs w:val="13"/>
                <w:lang w:val="en-GB"/>
              </w:rPr>
              <w:t xml:space="preserve">Dataset - 2 </w:t>
            </w:r>
          </w:p>
          <w:p w:rsidR="00BA7459" w:rsidRPr="00BA7459" w:rsidRDefault="00BA7459" w:rsidP="00C64F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B5AB2"/>
                <w:kern w:val="0"/>
                <w:sz w:val="13"/>
                <w:szCs w:val="13"/>
                <w:lang w:val="en-GB"/>
              </w:rPr>
            </w:pPr>
            <w:r>
              <w:rPr>
                <w:rFonts w:ascii="Times New Roman" w:hAnsi="Times New Roman" w:cs="Times New Roman"/>
                <w:color w:val="0B5AB2"/>
                <w:kern w:val="0"/>
                <w:sz w:val="13"/>
                <w:szCs w:val="13"/>
                <w:lang w:val="en-GB"/>
              </w:rPr>
              <w:t>S&amp;P 500 Index data</w:t>
            </w:r>
          </w:p>
        </w:tc>
        <w:tc>
          <w:tcPr>
            <w:tcW w:w="1803" w:type="dxa"/>
          </w:tcPr>
          <w:p w:rsidR="00C64F0E" w:rsidRPr="00BA7459" w:rsidRDefault="00000000" w:rsidP="00C64F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B5AB2"/>
                <w:kern w:val="0"/>
                <w:sz w:val="13"/>
                <w:szCs w:val="13"/>
                <w:lang w:val="en-GB"/>
              </w:rPr>
            </w:pPr>
            <w:hyperlink r:id="rId7" w:history="1">
              <w:r w:rsidR="00C64F0E" w:rsidRPr="00BA7459">
                <w:rPr>
                  <w:rStyle w:val="Hyperlink"/>
                  <w:rFonts w:ascii="Times New Roman" w:hAnsi="Times New Roman" w:cs="Times New Roman"/>
                  <w:kern w:val="0"/>
                  <w:sz w:val="13"/>
                  <w:szCs w:val="13"/>
                  <w:lang w:val="en-GB"/>
                </w:rPr>
                <w:t>CC0 1.0: Public Domain</w:t>
              </w:r>
            </w:hyperlink>
          </w:p>
        </w:tc>
        <w:tc>
          <w:tcPr>
            <w:tcW w:w="1209" w:type="dxa"/>
          </w:tcPr>
          <w:p w:rsidR="00C64F0E" w:rsidRPr="00BA7459" w:rsidRDefault="00C64F0E" w:rsidP="00C64F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B5AB2"/>
                <w:kern w:val="0"/>
                <w:sz w:val="13"/>
                <w:szCs w:val="13"/>
                <w:lang w:val="en-GB"/>
              </w:rPr>
            </w:pPr>
            <w:r w:rsidRPr="00BA7459">
              <w:rPr>
                <w:rFonts w:ascii="Times New Roman" w:hAnsi="Times New Roman" w:cs="Times New Roman"/>
                <w:color w:val="0B5AB2"/>
                <w:kern w:val="0"/>
                <w:sz w:val="13"/>
                <w:szCs w:val="13"/>
                <w:lang w:val="en-GB"/>
              </w:rPr>
              <w:t>CSV</w:t>
            </w:r>
          </w:p>
        </w:tc>
        <w:tc>
          <w:tcPr>
            <w:tcW w:w="2397" w:type="dxa"/>
          </w:tcPr>
          <w:p w:rsidR="00C64F0E" w:rsidRPr="00712A17" w:rsidRDefault="00712A17" w:rsidP="00712A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B5AB2"/>
                <w:kern w:val="0"/>
                <w:sz w:val="13"/>
                <w:szCs w:val="13"/>
                <w:lang w:val="en-GB"/>
              </w:rPr>
            </w:pPr>
            <w:r w:rsidRPr="00712A17">
              <w:rPr>
                <w:rFonts w:ascii="Times New Roman" w:hAnsi="Times New Roman" w:cs="Times New Roman"/>
                <w:color w:val="0B5AB2"/>
                <w:kern w:val="0"/>
                <w:sz w:val="13"/>
                <w:szCs w:val="13"/>
                <w:lang w:val="en-GB"/>
              </w:rPr>
              <w:t>Date</w:t>
            </w:r>
          </w:p>
        </w:tc>
        <w:tc>
          <w:tcPr>
            <w:tcW w:w="1804" w:type="dxa"/>
          </w:tcPr>
          <w:p w:rsidR="00C64F0E" w:rsidRPr="00712A17" w:rsidRDefault="00712A17" w:rsidP="00712A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B5AB2"/>
                <w:kern w:val="0"/>
                <w:sz w:val="13"/>
                <w:szCs w:val="13"/>
                <w:lang w:val="en-GB"/>
              </w:rPr>
            </w:pPr>
            <w:r w:rsidRPr="00712A17">
              <w:rPr>
                <w:rFonts w:ascii="Times New Roman" w:hAnsi="Times New Roman" w:cs="Times New Roman"/>
                <w:color w:val="0B5AB2"/>
                <w:kern w:val="0"/>
                <w:sz w:val="13"/>
                <w:szCs w:val="13"/>
                <w:lang w:val="en-GB"/>
              </w:rPr>
              <w:t>Open, High, Low, Close, Volume</w:t>
            </w:r>
          </w:p>
        </w:tc>
      </w:tr>
    </w:tbl>
    <w:p w:rsidR="00986234" w:rsidRPr="00986234" w:rsidRDefault="00986234"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lang w:val="en-GB"/>
        </w:rPr>
      </w:pPr>
    </w:p>
    <w:p w:rsidR="00F5093A" w:rsidRDefault="007F17DD"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r>
        <w:rPr>
          <w:rFonts w:ascii="Times New Roman" w:hAnsi="Times New Roman" w:cs="Times New Roman"/>
          <w:b/>
          <w:bCs/>
          <w:color w:val="0B5AB2"/>
          <w:kern w:val="0"/>
          <w:sz w:val="20"/>
          <w:szCs w:val="20"/>
          <w:lang w:val="en-GB"/>
        </w:rPr>
        <w:t xml:space="preserve">3. </w:t>
      </w:r>
      <w:r w:rsidR="00F5093A" w:rsidRPr="00986234">
        <w:rPr>
          <w:rFonts w:ascii="Times New Roman" w:hAnsi="Times New Roman" w:cs="Times New Roman"/>
          <w:b/>
          <w:bCs/>
          <w:color w:val="0B5AB2"/>
          <w:kern w:val="0"/>
          <w:sz w:val="20"/>
          <w:szCs w:val="20"/>
          <w:lang w:val="en-GB"/>
        </w:rPr>
        <w:t>Analysis and Visualizations</w:t>
      </w:r>
      <w:r w:rsidR="000D4F35">
        <w:rPr>
          <w:rFonts w:ascii="Times New Roman" w:hAnsi="Times New Roman" w:cs="Times New Roman"/>
          <w:b/>
          <w:bCs/>
          <w:color w:val="0B5AB2"/>
          <w:kern w:val="0"/>
          <w:sz w:val="20"/>
          <w:szCs w:val="20"/>
          <w:lang w:val="en-GB"/>
        </w:rPr>
        <w:t xml:space="preserve"> of S&amp;P 500 Companies</w:t>
      </w:r>
    </w:p>
    <w:p w:rsidR="00222B12" w:rsidRDefault="00222B12"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p>
    <w:p w:rsidR="00FC0943" w:rsidRPr="00222B12" w:rsidRDefault="00222B12"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B5AB2"/>
          <w:kern w:val="0"/>
          <w:sz w:val="16"/>
          <w:szCs w:val="16"/>
        </w:rPr>
      </w:pPr>
      <w:r w:rsidRPr="00222B12">
        <w:rPr>
          <w:rFonts w:ascii="Times New Roman" w:hAnsi="Times New Roman" w:cs="Times New Roman"/>
          <w:color w:val="000000"/>
          <w:kern w:val="0"/>
          <w:sz w:val="16"/>
          <w:szCs w:val="16"/>
          <w:lang w:val="en-GB"/>
        </w:rPr>
        <w:t xml:space="preserve">A comprehensive analysis </w:t>
      </w:r>
      <w:r w:rsidR="00FB0CFF">
        <w:rPr>
          <w:rFonts w:ascii="Times New Roman" w:hAnsi="Times New Roman" w:cs="Times New Roman"/>
          <w:color w:val="000000"/>
          <w:kern w:val="0"/>
          <w:sz w:val="16"/>
          <w:szCs w:val="16"/>
          <w:lang w:val="en-GB"/>
        </w:rPr>
        <w:t>is</w:t>
      </w:r>
      <w:r w:rsidRPr="00222B12">
        <w:rPr>
          <w:rFonts w:ascii="Times New Roman" w:hAnsi="Times New Roman" w:cs="Times New Roman"/>
          <w:color w:val="000000"/>
          <w:kern w:val="0"/>
          <w:sz w:val="16"/>
          <w:szCs w:val="16"/>
          <w:lang w:val="en-GB"/>
        </w:rPr>
        <w:t xml:space="preserve"> conducted to address the primary question and related </w:t>
      </w:r>
      <w:r w:rsidR="00FB0CFF">
        <w:rPr>
          <w:rFonts w:ascii="Times New Roman" w:hAnsi="Times New Roman" w:cs="Times New Roman"/>
          <w:color w:val="000000"/>
          <w:kern w:val="0"/>
          <w:sz w:val="16"/>
          <w:szCs w:val="16"/>
          <w:lang w:val="en-GB"/>
        </w:rPr>
        <w:t>questions</w:t>
      </w:r>
      <w:r w:rsidRPr="00222B12">
        <w:rPr>
          <w:rFonts w:ascii="Times New Roman" w:hAnsi="Times New Roman" w:cs="Times New Roman"/>
          <w:color w:val="000000"/>
          <w:kern w:val="0"/>
          <w:sz w:val="16"/>
          <w:szCs w:val="16"/>
          <w:lang w:val="en-GB"/>
        </w:rPr>
        <w:t>. Key aspects include the distribution of companies across sectors to identify trends, the top companies by market capitalization to highlight market dominance, revenue growth by sector to uncover high-growth areas, and comparisons of EBITDA and employee count. The results</w:t>
      </w:r>
      <w:r w:rsidR="00CC48A9">
        <w:rPr>
          <w:rFonts w:ascii="Times New Roman" w:hAnsi="Times New Roman" w:cs="Times New Roman"/>
          <w:color w:val="000000"/>
          <w:kern w:val="0"/>
          <w:sz w:val="16"/>
          <w:szCs w:val="16"/>
          <w:lang w:val="en-GB"/>
        </w:rPr>
        <w:t xml:space="preserve"> are</w:t>
      </w:r>
      <w:r w:rsidRPr="00222B12">
        <w:rPr>
          <w:rFonts w:ascii="Times New Roman" w:hAnsi="Times New Roman" w:cs="Times New Roman"/>
          <w:color w:val="000000"/>
          <w:kern w:val="0"/>
          <w:sz w:val="16"/>
          <w:szCs w:val="16"/>
          <w:lang w:val="en-GB"/>
        </w:rPr>
        <w:t xml:space="preserve"> visualized through clear charts, provide actionable insights and performance of the S&amp;P 500, equipping stakeholders with valuable data for informed decision-making.</w:t>
      </w:r>
    </w:p>
    <w:p w:rsidR="007F17DD" w:rsidRDefault="007F17DD"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p>
    <w:p w:rsidR="007F17DD" w:rsidRDefault="007F17DD"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r>
        <w:rPr>
          <w:rFonts w:ascii="Times New Roman" w:hAnsi="Times New Roman" w:cs="Times New Roman"/>
          <w:b/>
          <w:bCs/>
          <w:color w:val="0B5AB2"/>
          <w:kern w:val="0"/>
          <w:sz w:val="20"/>
          <w:szCs w:val="20"/>
          <w:lang w:val="en-GB"/>
        </w:rPr>
        <w:t xml:space="preserve">3.1.1 </w:t>
      </w:r>
      <w:r w:rsidRPr="007F17DD">
        <w:rPr>
          <w:rFonts w:ascii="Times New Roman" w:hAnsi="Times New Roman" w:cs="Times New Roman"/>
          <w:b/>
          <w:bCs/>
          <w:color w:val="0B5AB2"/>
          <w:kern w:val="0"/>
          <w:sz w:val="20"/>
          <w:szCs w:val="20"/>
          <w:lang w:val="en-GB"/>
        </w:rPr>
        <w:t>Distribution of Companies Across Sectors</w:t>
      </w:r>
      <w:r w:rsidR="007D0B2A">
        <w:rPr>
          <w:rFonts w:ascii="Times New Roman" w:hAnsi="Times New Roman" w:cs="Times New Roman"/>
          <w:b/>
          <w:bCs/>
          <w:color w:val="0B5AB2"/>
          <w:kern w:val="0"/>
          <w:sz w:val="20"/>
          <w:szCs w:val="20"/>
          <w:lang w:val="en-GB"/>
        </w:rPr>
        <w:t xml:space="preserve"> and Companies Market Capitalization</w:t>
      </w:r>
      <w:r>
        <w:rPr>
          <w:rFonts w:ascii="Times New Roman" w:hAnsi="Times New Roman" w:cs="Times New Roman"/>
          <w:b/>
          <w:bCs/>
          <w:color w:val="0B5AB2"/>
          <w:kern w:val="0"/>
          <w:sz w:val="20"/>
          <w:szCs w:val="20"/>
          <w:lang w:val="en-GB"/>
        </w:rPr>
        <w:t>:</w:t>
      </w:r>
    </w:p>
    <w:p w:rsidR="007F17DD" w:rsidRDefault="007F17DD"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p>
    <w:p w:rsidR="007F17DD" w:rsidRPr="00753A8C" w:rsidRDefault="007F17DD"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noProof/>
        </w:rPr>
      </w:pPr>
      <w:r w:rsidRPr="007F17DD">
        <w:rPr>
          <w:noProof/>
        </w:rPr>
        <w:t xml:space="preserve"> </w:t>
      </w:r>
      <w:r w:rsidRPr="007F17DD">
        <w:rPr>
          <w:noProof/>
        </w:rPr>
        <w:drawing>
          <wp:inline distT="0" distB="0" distL="0" distR="0" wp14:anchorId="7767DB25" wp14:editId="13370766">
            <wp:extent cx="2813172" cy="1761583"/>
            <wp:effectExtent l="0" t="0" r="0" b="3810"/>
            <wp:docPr id="86168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87360" name=""/>
                    <pic:cNvPicPr/>
                  </pic:nvPicPr>
                  <pic:blipFill>
                    <a:blip r:embed="rId8"/>
                    <a:stretch>
                      <a:fillRect/>
                    </a:stretch>
                  </pic:blipFill>
                  <pic:spPr>
                    <a:xfrm>
                      <a:off x="0" y="0"/>
                      <a:ext cx="2918061" cy="1827263"/>
                    </a:xfrm>
                    <a:prstGeom prst="rect">
                      <a:avLst/>
                    </a:prstGeom>
                  </pic:spPr>
                </pic:pic>
              </a:graphicData>
            </a:graphic>
          </wp:inline>
        </w:drawing>
      </w:r>
      <w:r w:rsidRPr="007F17DD">
        <w:rPr>
          <w:noProof/>
        </w:rPr>
        <w:t xml:space="preserve"> </w:t>
      </w:r>
      <w:r w:rsidRPr="007F17DD">
        <w:rPr>
          <w:noProof/>
        </w:rPr>
        <w:drawing>
          <wp:inline distT="0" distB="0" distL="0" distR="0" wp14:anchorId="4A79EE40" wp14:editId="226EDB91">
            <wp:extent cx="2811772" cy="1737966"/>
            <wp:effectExtent l="0" t="0" r="0" b="2540"/>
            <wp:docPr id="108518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85061" name=""/>
                    <pic:cNvPicPr/>
                  </pic:nvPicPr>
                  <pic:blipFill>
                    <a:blip r:embed="rId9"/>
                    <a:stretch>
                      <a:fillRect/>
                    </a:stretch>
                  </pic:blipFill>
                  <pic:spPr>
                    <a:xfrm>
                      <a:off x="0" y="0"/>
                      <a:ext cx="2811772" cy="1737966"/>
                    </a:xfrm>
                    <a:prstGeom prst="rect">
                      <a:avLst/>
                    </a:prstGeom>
                  </pic:spPr>
                </pic:pic>
              </a:graphicData>
            </a:graphic>
          </wp:inline>
        </w:drawing>
      </w:r>
      <w:r w:rsidRPr="007F17DD">
        <w:rPr>
          <w:rFonts w:ascii="Times New Roman" w:hAnsi="Times New Roman" w:cs="Times New Roman"/>
          <w:color w:val="000000"/>
          <w:kern w:val="0"/>
          <w:sz w:val="16"/>
          <w:szCs w:val="16"/>
          <w:lang w:val="en-GB"/>
        </w:rPr>
        <w:t xml:space="preserve">Distribution of </w:t>
      </w:r>
      <w:r w:rsidR="00DD317E">
        <w:rPr>
          <w:rFonts w:ascii="Times New Roman" w:hAnsi="Times New Roman" w:cs="Times New Roman"/>
          <w:color w:val="000000"/>
          <w:kern w:val="0"/>
          <w:sz w:val="16"/>
          <w:szCs w:val="16"/>
          <w:lang w:val="en-GB"/>
        </w:rPr>
        <w:t>c</w:t>
      </w:r>
      <w:r w:rsidRPr="007F17DD">
        <w:rPr>
          <w:rFonts w:ascii="Times New Roman" w:hAnsi="Times New Roman" w:cs="Times New Roman"/>
          <w:color w:val="000000"/>
          <w:kern w:val="0"/>
          <w:sz w:val="16"/>
          <w:szCs w:val="16"/>
          <w:lang w:val="en-GB"/>
        </w:rPr>
        <w:t xml:space="preserve">ompanies </w:t>
      </w:r>
      <w:r w:rsidR="00DD317E">
        <w:rPr>
          <w:rFonts w:ascii="Times New Roman" w:hAnsi="Times New Roman" w:cs="Times New Roman"/>
          <w:color w:val="000000"/>
          <w:kern w:val="0"/>
          <w:sz w:val="16"/>
          <w:szCs w:val="16"/>
          <w:lang w:val="en-GB"/>
        </w:rPr>
        <w:t>a</w:t>
      </w:r>
      <w:r w:rsidRPr="007F17DD">
        <w:rPr>
          <w:rFonts w:ascii="Times New Roman" w:hAnsi="Times New Roman" w:cs="Times New Roman"/>
          <w:color w:val="000000"/>
          <w:kern w:val="0"/>
          <w:sz w:val="16"/>
          <w:szCs w:val="16"/>
          <w:lang w:val="en-GB"/>
        </w:rPr>
        <w:t xml:space="preserve">cross </w:t>
      </w:r>
      <w:r w:rsidR="00DD317E">
        <w:rPr>
          <w:rFonts w:ascii="Times New Roman" w:hAnsi="Times New Roman" w:cs="Times New Roman"/>
          <w:color w:val="000000"/>
          <w:kern w:val="0"/>
          <w:sz w:val="16"/>
          <w:szCs w:val="16"/>
          <w:lang w:val="en-GB"/>
        </w:rPr>
        <w:t>s</w:t>
      </w:r>
      <w:r w:rsidRPr="007F17DD">
        <w:rPr>
          <w:rFonts w:ascii="Times New Roman" w:hAnsi="Times New Roman" w:cs="Times New Roman"/>
          <w:color w:val="000000"/>
          <w:kern w:val="0"/>
          <w:sz w:val="16"/>
          <w:szCs w:val="16"/>
          <w:lang w:val="en-GB"/>
        </w:rPr>
        <w:t xml:space="preserve">ectors highlights the representation of companies in various industries, with the </w:t>
      </w:r>
      <w:r w:rsidRPr="00A262AB">
        <w:rPr>
          <w:rFonts w:ascii="Times New Roman" w:hAnsi="Times New Roman" w:cs="Times New Roman"/>
          <w:b/>
          <w:bCs/>
          <w:color w:val="000000"/>
          <w:kern w:val="0"/>
          <w:sz w:val="16"/>
          <w:szCs w:val="16"/>
          <w:lang w:val="en-GB"/>
        </w:rPr>
        <w:t xml:space="preserve">Technology sector </w:t>
      </w:r>
      <w:r w:rsidR="00077F94">
        <w:rPr>
          <w:rFonts w:ascii="Times New Roman" w:hAnsi="Times New Roman" w:cs="Times New Roman"/>
          <w:color w:val="000000"/>
          <w:kern w:val="0"/>
          <w:sz w:val="16"/>
          <w:szCs w:val="16"/>
          <w:lang w:val="en-GB"/>
        </w:rPr>
        <w:t>contains</w:t>
      </w:r>
      <w:r w:rsidRPr="007F17DD">
        <w:rPr>
          <w:rFonts w:ascii="Times New Roman" w:hAnsi="Times New Roman" w:cs="Times New Roman"/>
          <w:color w:val="000000"/>
          <w:kern w:val="0"/>
          <w:sz w:val="16"/>
          <w:szCs w:val="16"/>
          <w:lang w:val="en-GB"/>
        </w:rPr>
        <w:t xml:space="preserve"> </w:t>
      </w:r>
      <w:r w:rsidRPr="00A262AB">
        <w:rPr>
          <w:rFonts w:ascii="Times New Roman" w:hAnsi="Times New Roman" w:cs="Times New Roman"/>
          <w:b/>
          <w:bCs/>
          <w:color w:val="000000"/>
          <w:kern w:val="0"/>
          <w:sz w:val="16"/>
          <w:szCs w:val="16"/>
          <w:lang w:val="en-GB"/>
        </w:rPr>
        <w:t>82 companies (16.33%)</w:t>
      </w:r>
      <w:r w:rsidRPr="007F17DD">
        <w:rPr>
          <w:rFonts w:ascii="Times New Roman" w:hAnsi="Times New Roman" w:cs="Times New Roman"/>
          <w:color w:val="000000"/>
          <w:kern w:val="0"/>
          <w:sz w:val="16"/>
          <w:szCs w:val="16"/>
          <w:lang w:val="en-GB"/>
        </w:rPr>
        <w:t xml:space="preserve">, underscoring its pivotal role in driving innovation and the digital economy. The </w:t>
      </w:r>
      <w:r w:rsidRPr="00A262AB">
        <w:rPr>
          <w:rFonts w:ascii="Times New Roman" w:hAnsi="Times New Roman" w:cs="Times New Roman"/>
          <w:b/>
          <w:bCs/>
          <w:color w:val="000000"/>
          <w:kern w:val="0"/>
          <w:sz w:val="16"/>
          <w:szCs w:val="16"/>
          <w:lang w:val="en-GB"/>
        </w:rPr>
        <w:t xml:space="preserve">Industrials sector </w:t>
      </w:r>
      <w:r w:rsidRPr="007F17DD">
        <w:rPr>
          <w:rFonts w:ascii="Times New Roman" w:hAnsi="Times New Roman" w:cs="Times New Roman"/>
          <w:color w:val="000000"/>
          <w:kern w:val="0"/>
          <w:sz w:val="16"/>
          <w:szCs w:val="16"/>
          <w:lang w:val="en-GB"/>
        </w:rPr>
        <w:t xml:space="preserve">follows closely, </w:t>
      </w:r>
      <w:r w:rsidR="00A635E5">
        <w:rPr>
          <w:rFonts w:ascii="Times New Roman" w:hAnsi="Times New Roman" w:cs="Times New Roman"/>
          <w:color w:val="000000"/>
          <w:kern w:val="0"/>
          <w:sz w:val="16"/>
          <w:szCs w:val="16"/>
          <w:lang w:val="en-GB"/>
        </w:rPr>
        <w:t>with</w:t>
      </w:r>
      <w:r w:rsidRPr="007F17DD">
        <w:rPr>
          <w:rFonts w:ascii="Times New Roman" w:hAnsi="Times New Roman" w:cs="Times New Roman"/>
          <w:color w:val="000000"/>
          <w:kern w:val="0"/>
          <w:sz w:val="16"/>
          <w:szCs w:val="16"/>
          <w:lang w:val="en-GB"/>
        </w:rPr>
        <w:t xml:space="preserve"> </w:t>
      </w:r>
      <w:r w:rsidRPr="00A262AB">
        <w:rPr>
          <w:rFonts w:ascii="Times New Roman" w:hAnsi="Times New Roman" w:cs="Times New Roman"/>
          <w:b/>
          <w:bCs/>
          <w:color w:val="000000"/>
          <w:kern w:val="0"/>
          <w:sz w:val="16"/>
          <w:szCs w:val="16"/>
          <w:lang w:val="en-GB"/>
        </w:rPr>
        <w:t>70 companies (13.94%)</w:t>
      </w:r>
      <w:r w:rsidRPr="007F17DD">
        <w:rPr>
          <w:rFonts w:ascii="Times New Roman" w:hAnsi="Times New Roman" w:cs="Times New Roman"/>
          <w:color w:val="000000"/>
          <w:kern w:val="0"/>
          <w:sz w:val="16"/>
          <w:szCs w:val="16"/>
          <w:lang w:val="en-GB"/>
        </w:rPr>
        <w:t xml:space="preserve">, reflecting its contribution to manufacturing and infrastructure. The </w:t>
      </w:r>
      <w:r w:rsidRPr="00A262AB">
        <w:rPr>
          <w:rFonts w:ascii="Times New Roman" w:hAnsi="Times New Roman" w:cs="Times New Roman"/>
          <w:b/>
          <w:bCs/>
          <w:color w:val="000000"/>
          <w:kern w:val="0"/>
          <w:sz w:val="16"/>
          <w:szCs w:val="16"/>
          <w:lang w:val="en-GB"/>
        </w:rPr>
        <w:t>Financial Services sector</w:t>
      </w:r>
      <w:r w:rsidRPr="007F17DD">
        <w:rPr>
          <w:rFonts w:ascii="Times New Roman" w:hAnsi="Times New Roman" w:cs="Times New Roman"/>
          <w:color w:val="000000"/>
          <w:kern w:val="0"/>
          <w:sz w:val="16"/>
          <w:szCs w:val="16"/>
          <w:lang w:val="en-GB"/>
        </w:rPr>
        <w:t xml:space="preserve">, with </w:t>
      </w:r>
      <w:r w:rsidRPr="00A262AB">
        <w:rPr>
          <w:rFonts w:ascii="Times New Roman" w:hAnsi="Times New Roman" w:cs="Times New Roman"/>
          <w:b/>
          <w:bCs/>
          <w:color w:val="000000"/>
          <w:kern w:val="0"/>
          <w:sz w:val="16"/>
          <w:szCs w:val="16"/>
          <w:lang w:val="en-GB"/>
        </w:rPr>
        <w:t>67 companies (13.35%)</w:t>
      </w:r>
      <w:r w:rsidRPr="007F17DD">
        <w:rPr>
          <w:rFonts w:ascii="Times New Roman" w:hAnsi="Times New Roman" w:cs="Times New Roman"/>
          <w:color w:val="000000"/>
          <w:kern w:val="0"/>
          <w:sz w:val="16"/>
          <w:szCs w:val="16"/>
          <w:lang w:val="en-GB"/>
        </w:rPr>
        <w:t xml:space="preserve">, </w:t>
      </w:r>
      <w:r w:rsidR="00971A0B">
        <w:rPr>
          <w:rFonts w:ascii="Times New Roman" w:hAnsi="Times New Roman" w:cs="Times New Roman"/>
          <w:color w:val="000000"/>
          <w:kern w:val="0"/>
          <w:sz w:val="16"/>
          <w:szCs w:val="16"/>
          <w:lang w:val="en-GB"/>
        </w:rPr>
        <w:t>shows</w:t>
      </w:r>
      <w:r w:rsidRPr="007F17DD">
        <w:rPr>
          <w:rFonts w:ascii="Times New Roman" w:hAnsi="Times New Roman" w:cs="Times New Roman"/>
          <w:color w:val="000000"/>
          <w:kern w:val="0"/>
          <w:sz w:val="16"/>
          <w:szCs w:val="16"/>
          <w:lang w:val="en-GB"/>
        </w:rPr>
        <w:t xml:space="preserve"> its critical role in economic stability and growth. Meanwhile, the </w:t>
      </w:r>
      <w:r w:rsidRPr="00A262AB">
        <w:rPr>
          <w:rFonts w:ascii="Times New Roman" w:hAnsi="Times New Roman" w:cs="Times New Roman"/>
          <w:b/>
          <w:bCs/>
          <w:color w:val="000000"/>
          <w:kern w:val="0"/>
          <w:sz w:val="16"/>
          <w:szCs w:val="16"/>
          <w:lang w:val="en-GB"/>
        </w:rPr>
        <w:t xml:space="preserve">Healthcare sector </w:t>
      </w:r>
      <w:r w:rsidRPr="007F17DD">
        <w:rPr>
          <w:rFonts w:ascii="Times New Roman" w:hAnsi="Times New Roman" w:cs="Times New Roman"/>
          <w:color w:val="000000"/>
          <w:kern w:val="0"/>
          <w:sz w:val="16"/>
          <w:szCs w:val="16"/>
          <w:lang w:val="en-GB"/>
        </w:rPr>
        <w:t xml:space="preserve">features </w:t>
      </w:r>
      <w:r w:rsidRPr="00A262AB">
        <w:rPr>
          <w:rFonts w:ascii="Times New Roman" w:hAnsi="Times New Roman" w:cs="Times New Roman"/>
          <w:b/>
          <w:bCs/>
          <w:color w:val="000000"/>
          <w:kern w:val="0"/>
          <w:sz w:val="16"/>
          <w:szCs w:val="16"/>
          <w:lang w:val="en-GB"/>
        </w:rPr>
        <w:t>62 companies (12.35%)</w:t>
      </w:r>
      <w:r w:rsidRPr="007F17DD">
        <w:rPr>
          <w:rFonts w:ascii="Times New Roman" w:hAnsi="Times New Roman" w:cs="Times New Roman"/>
          <w:color w:val="000000"/>
          <w:kern w:val="0"/>
          <w:sz w:val="16"/>
          <w:szCs w:val="16"/>
          <w:lang w:val="en-GB"/>
        </w:rPr>
        <w:t xml:space="preserve">, showcasing the increasing importance of medical and biotechnological advancements, and the </w:t>
      </w:r>
      <w:r w:rsidRPr="00A262AB">
        <w:rPr>
          <w:rFonts w:ascii="Times New Roman" w:hAnsi="Times New Roman" w:cs="Times New Roman"/>
          <w:b/>
          <w:bCs/>
          <w:color w:val="000000"/>
          <w:kern w:val="0"/>
          <w:sz w:val="16"/>
          <w:szCs w:val="16"/>
          <w:lang w:val="en-GB"/>
        </w:rPr>
        <w:t>Consumer Cyclical sector</w:t>
      </w:r>
      <w:r w:rsidRPr="007F17DD">
        <w:rPr>
          <w:rFonts w:ascii="Times New Roman" w:hAnsi="Times New Roman" w:cs="Times New Roman"/>
          <w:color w:val="000000"/>
          <w:kern w:val="0"/>
          <w:sz w:val="16"/>
          <w:szCs w:val="16"/>
          <w:lang w:val="en-GB"/>
        </w:rPr>
        <w:t xml:space="preserve">, with </w:t>
      </w:r>
      <w:r w:rsidRPr="00A262AB">
        <w:rPr>
          <w:rFonts w:ascii="Times New Roman" w:hAnsi="Times New Roman" w:cs="Times New Roman"/>
          <w:b/>
          <w:bCs/>
          <w:color w:val="000000"/>
          <w:kern w:val="0"/>
          <w:sz w:val="16"/>
          <w:szCs w:val="16"/>
          <w:lang w:val="en-GB"/>
        </w:rPr>
        <w:t>55 companies (10.96%)</w:t>
      </w:r>
      <w:r w:rsidRPr="007F17DD">
        <w:rPr>
          <w:rFonts w:ascii="Times New Roman" w:hAnsi="Times New Roman" w:cs="Times New Roman"/>
          <w:color w:val="000000"/>
          <w:kern w:val="0"/>
          <w:sz w:val="16"/>
          <w:szCs w:val="16"/>
          <w:lang w:val="en-GB"/>
        </w:rPr>
        <w:t xml:space="preserve">, highlights consumer-driven market resilience. The remaining sectors collectively represent </w:t>
      </w:r>
      <w:r w:rsidRPr="00A262AB">
        <w:rPr>
          <w:rFonts w:ascii="Times New Roman" w:hAnsi="Times New Roman" w:cs="Times New Roman"/>
          <w:b/>
          <w:bCs/>
          <w:color w:val="000000"/>
          <w:kern w:val="0"/>
          <w:sz w:val="16"/>
          <w:szCs w:val="16"/>
          <w:lang w:val="en-GB"/>
        </w:rPr>
        <w:t>166 companies (33.07%)</w:t>
      </w:r>
      <w:r w:rsidRPr="007F17DD">
        <w:rPr>
          <w:rFonts w:ascii="Times New Roman" w:hAnsi="Times New Roman" w:cs="Times New Roman"/>
          <w:color w:val="000000"/>
          <w:kern w:val="0"/>
          <w:sz w:val="16"/>
          <w:szCs w:val="16"/>
          <w:lang w:val="en-GB"/>
        </w:rPr>
        <w:t>, highlighting the diverse but less concentrated industrial presence.</w:t>
      </w:r>
    </w:p>
    <w:p w:rsidR="007F17DD" w:rsidRPr="007F17DD" w:rsidRDefault="007F17DD"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7F17DD" w:rsidRDefault="007F17DD"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r w:rsidRPr="007F17DD">
        <w:rPr>
          <w:rFonts w:ascii="Times New Roman" w:hAnsi="Times New Roman" w:cs="Times New Roman"/>
          <w:color w:val="000000"/>
          <w:kern w:val="0"/>
          <w:sz w:val="16"/>
          <w:szCs w:val="16"/>
          <w:lang w:val="en-GB"/>
        </w:rPr>
        <w:t xml:space="preserve">Top </w:t>
      </w:r>
      <w:r w:rsidR="00A262AB">
        <w:rPr>
          <w:rFonts w:ascii="Times New Roman" w:hAnsi="Times New Roman" w:cs="Times New Roman"/>
          <w:color w:val="000000"/>
          <w:kern w:val="0"/>
          <w:sz w:val="16"/>
          <w:szCs w:val="16"/>
          <w:lang w:val="en-GB"/>
        </w:rPr>
        <w:t>c</w:t>
      </w:r>
      <w:r w:rsidRPr="007F17DD">
        <w:rPr>
          <w:rFonts w:ascii="Times New Roman" w:hAnsi="Times New Roman" w:cs="Times New Roman"/>
          <w:color w:val="000000"/>
          <w:kern w:val="0"/>
          <w:sz w:val="16"/>
          <w:szCs w:val="16"/>
          <w:lang w:val="en-GB"/>
        </w:rPr>
        <w:t xml:space="preserve">ompanies by </w:t>
      </w:r>
      <w:r w:rsidR="00A262AB">
        <w:rPr>
          <w:rFonts w:ascii="Times New Roman" w:hAnsi="Times New Roman" w:cs="Times New Roman"/>
          <w:color w:val="000000"/>
          <w:kern w:val="0"/>
          <w:sz w:val="16"/>
          <w:szCs w:val="16"/>
          <w:lang w:val="en-GB"/>
        </w:rPr>
        <w:t>m</w:t>
      </w:r>
      <w:r w:rsidRPr="007F17DD">
        <w:rPr>
          <w:rFonts w:ascii="Times New Roman" w:hAnsi="Times New Roman" w:cs="Times New Roman"/>
          <w:color w:val="000000"/>
          <w:kern w:val="0"/>
          <w:sz w:val="16"/>
          <w:szCs w:val="16"/>
          <w:lang w:val="en-GB"/>
        </w:rPr>
        <w:t xml:space="preserve">arket </w:t>
      </w:r>
      <w:r w:rsidR="00A262AB">
        <w:rPr>
          <w:rFonts w:ascii="Times New Roman" w:hAnsi="Times New Roman" w:cs="Times New Roman"/>
          <w:color w:val="000000"/>
          <w:kern w:val="0"/>
          <w:sz w:val="16"/>
          <w:szCs w:val="16"/>
          <w:lang w:val="en-GB"/>
        </w:rPr>
        <w:t>c</w:t>
      </w:r>
      <w:r w:rsidRPr="007F17DD">
        <w:rPr>
          <w:rFonts w:ascii="Times New Roman" w:hAnsi="Times New Roman" w:cs="Times New Roman"/>
          <w:color w:val="000000"/>
          <w:kern w:val="0"/>
          <w:sz w:val="16"/>
          <w:szCs w:val="16"/>
          <w:lang w:val="en-GB"/>
        </w:rPr>
        <w:t xml:space="preserve">apitalization, </w:t>
      </w:r>
      <w:r w:rsidR="00DE307B">
        <w:rPr>
          <w:rFonts w:ascii="Times New Roman" w:hAnsi="Times New Roman" w:cs="Times New Roman"/>
          <w:color w:val="000000"/>
          <w:kern w:val="0"/>
          <w:sz w:val="16"/>
          <w:szCs w:val="16"/>
          <w:lang w:val="en-GB"/>
        </w:rPr>
        <w:t>shows</w:t>
      </w:r>
      <w:r w:rsidRPr="007F17DD">
        <w:rPr>
          <w:rFonts w:ascii="Times New Roman" w:hAnsi="Times New Roman" w:cs="Times New Roman"/>
          <w:color w:val="000000"/>
          <w:kern w:val="0"/>
          <w:sz w:val="16"/>
          <w:szCs w:val="16"/>
          <w:lang w:val="en-GB"/>
        </w:rPr>
        <w:t xml:space="preserve"> the economic clout of leading global firms. </w:t>
      </w:r>
      <w:r w:rsidRPr="00741AEE">
        <w:rPr>
          <w:rFonts w:ascii="Times New Roman" w:hAnsi="Times New Roman" w:cs="Times New Roman"/>
          <w:b/>
          <w:bCs/>
          <w:color w:val="000000"/>
          <w:kern w:val="0"/>
          <w:sz w:val="16"/>
          <w:szCs w:val="16"/>
          <w:lang w:val="en-GB"/>
        </w:rPr>
        <w:t>Apple Inc.</w:t>
      </w:r>
      <w:r w:rsidRPr="007F17DD">
        <w:rPr>
          <w:rFonts w:ascii="Times New Roman" w:hAnsi="Times New Roman" w:cs="Times New Roman"/>
          <w:color w:val="000000"/>
          <w:kern w:val="0"/>
          <w:sz w:val="16"/>
          <w:szCs w:val="16"/>
          <w:lang w:val="en-GB"/>
        </w:rPr>
        <w:t xml:space="preserve"> dominates with a market capitalization of </w:t>
      </w:r>
      <w:r w:rsidRPr="00741AEE">
        <w:rPr>
          <w:rFonts w:ascii="Times New Roman" w:hAnsi="Times New Roman" w:cs="Times New Roman"/>
          <w:b/>
          <w:bCs/>
          <w:color w:val="000000"/>
          <w:kern w:val="0"/>
          <w:sz w:val="16"/>
          <w:szCs w:val="16"/>
          <w:lang w:val="en-GB"/>
        </w:rPr>
        <w:t>$3,846.82 billion</w:t>
      </w:r>
      <w:r w:rsidRPr="007F17DD">
        <w:rPr>
          <w:rFonts w:ascii="Times New Roman" w:hAnsi="Times New Roman" w:cs="Times New Roman"/>
          <w:color w:val="000000"/>
          <w:kern w:val="0"/>
          <w:sz w:val="16"/>
          <w:szCs w:val="16"/>
          <w:lang w:val="en-GB"/>
        </w:rPr>
        <w:t xml:space="preserve">, followed by </w:t>
      </w:r>
      <w:r w:rsidRPr="00741AEE">
        <w:rPr>
          <w:rFonts w:ascii="Times New Roman" w:hAnsi="Times New Roman" w:cs="Times New Roman"/>
          <w:b/>
          <w:bCs/>
          <w:color w:val="000000"/>
          <w:kern w:val="0"/>
          <w:sz w:val="16"/>
          <w:szCs w:val="16"/>
          <w:lang w:val="en-GB"/>
        </w:rPr>
        <w:t xml:space="preserve">NVIDIA Corporation </w:t>
      </w:r>
      <w:r w:rsidRPr="007F17DD">
        <w:rPr>
          <w:rFonts w:ascii="Times New Roman" w:hAnsi="Times New Roman" w:cs="Times New Roman"/>
          <w:color w:val="000000"/>
          <w:kern w:val="0"/>
          <w:sz w:val="16"/>
          <w:szCs w:val="16"/>
          <w:lang w:val="en-GB"/>
        </w:rPr>
        <w:t xml:space="preserve">and </w:t>
      </w:r>
      <w:r w:rsidRPr="00741AEE">
        <w:rPr>
          <w:rFonts w:ascii="Times New Roman" w:hAnsi="Times New Roman" w:cs="Times New Roman"/>
          <w:b/>
          <w:bCs/>
          <w:color w:val="000000"/>
          <w:kern w:val="0"/>
          <w:sz w:val="16"/>
          <w:szCs w:val="16"/>
          <w:lang w:val="en-GB"/>
        </w:rPr>
        <w:t xml:space="preserve">Microsoft Corporation </w:t>
      </w:r>
      <w:r w:rsidRPr="007F17DD">
        <w:rPr>
          <w:rFonts w:ascii="Times New Roman" w:hAnsi="Times New Roman" w:cs="Times New Roman"/>
          <w:color w:val="000000"/>
          <w:kern w:val="0"/>
          <w:sz w:val="16"/>
          <w:szCs w:val="16"/>
          <w:lang w:val="en-GB"/>
        </w:rPr>
        <w:t xml:space="preserve">at </w:t>
      </w:r>
      <w:r w:rsidRPr="00741AEE">
        <w:rPr>
          <w:rFonts w:ascii="Times New Roman" w:hAnsi="Times New Roman" w:cs="Times New Roman"/>
          <w:b/>
          <w:bCs/>
          <w:color w:val="000000"/>
          <w:kern w:val="0"/>
          <w:sz w:val="16"/>
          <w:szCs w:val="16"/>
          <w:lang w:val="en-GB"/>
        </w:rPr>
        <w:t xml:space="preserve">$3,298.80 billion </w:t>
      </w:r>
      <w:r w:rsidRPr="007F17DD">
        <w:rPr>
          <w:rFonts w:ascii="Times New Roman" w:hAnsi="Times New Roman" w:cs="Times New Roman"/>
          <w:color w:val="000000"/>
          <w:kern w:val="0"/>
          <w:sz w:val="16"/>
          <w:szCs w:val="16"/>
          <w:lang w:val="en-GB"/>
        </w:rPr>
        <w:t xml:space="preserve">and </w:t>
      </w:r>
      <w:r w:rsidRPr="00741AEE">
        <w:rPr>
          <w:rFonts w:ascii="Times New Roman" w:hAnsi="Times New Roman" w:cs="Times New Roman"/>
          <w:b/>
          <w:bCs/>
          <w:color w:val="000000"/>
          <w:kern w:val="0"/>
          <w:sz w:val="16"/>
          <w:szCs w:val="16"/>
          <w:lang w:val="en-GB"/>
        </w:rPr>
        <w:t>$3,246.07 billion</w:t>
      </w:r>
      <w:r w:rsidRPr="007F17DD">
        <w:rPr>
          <w:rFonts w:ascii="Times New Roman" w:hAnsi="Times New Roman" w:cs="Times New Roman"/>
          <w:color w:val="000000"/>
          <w:kern w:val="0"/>
          <w:sz w:val="16"/>
          <w:szCs w:val="16"/>
          <w:lang w:val="en-GB"/>
        </w:rPr>
        <w:t xml:space="preserve">, respectively. </w:t>
      </w:r>
      <w:r w:rsidRPr="00741AEE">
        <w:rPr>
          <w:rFonts w:ascii="Times New Roman" w:hAnsi="Times New Roman" w:cs="Times New Roman"/>
          <w:b/>
          <w:bCs/>
          <w:color w:val="000000"/>
          <w:kern w:val="0"/>
          <w:sz w:val="16"/>
          <w:szCs w:val="16"/>
          <w:lang w:val="en-GB"/>
        </w:rPr>
        <w:t xml:space="preserve">Amazon.com, Inc. </w:t>
      </w:r>
      <w:r w:rsidRPr="007F17DD">
        <w:rPr>
          <w:rFonts w:ascii="Times New Roman" w:hAnsi="Times New Roman" w:cs="Times New Roman"/>
          <w:color w:val="000000"/>
          <w:kern w:val="0"/>
          <w:sz w:val="16"/>
          <w:szCs w:val="16"/>
          <w:lang w:val="en-GB"/>
        </w:rPr>
        <w:t xml:space="preserve">and </w:t>
      </w:r>
      <w:r w:rsidRPr="00741AEE">
        <w:rPr>
          <w:rFonts w:ascii="Times New Roman" w:hAnsi="Times New Roman" w:cs="Times New Roman"/>
          <w:b/>
          <w:bCs/>
          <w:color w:val="000000"/>
          <w:kern w:val="0"/>
          <w:sz w:val="16"/>
          <w:szCs w:val="16"/>
          <w:lang w:val="en-GB"/>
        </w:rPr>
        <w:t xml:space="preserve">Alphabet Inc. </w:t>
      </w:r>
      <w:r w:rsidRPr="007F17DD">
        <w:rPr>
          <w:rFonts w:ascii="Times New Roman" w:hAnsi="Times New Roman" w:cs="Times New Roman"/>
          <w:color w:val="000000"/>
          <w:kern w:val="0"/>
          <w:sz w:val="16"/>
          <w:szCs w:val="16"/>
          <w:lang w:val="en-GB"/>
        </w:rPr>
        <w:t xml:space="preserve">feature prominently, with </w:t>
      </w:r>
      <w:r w:rsidRPr="00741AEE">
        <w:rPr>
          <w:rFonts w:ascii="Times New Roman" w:hAnsi="Times New Roman" w:cs="Times New Roman"/>
          <w:b/>
          <w:bCs/>
          <w:color w:val="000000"/>
          <w:kern w:val="0"/>
          <w:sz w:val="16"/>
          <w:szCs w:val="16"/>
          <w:lang w:val="en-GB"/>
        </w:rPr>
        <w:t>Alphabet’s</w:t>
      </w:r>
      <w:r w:rsidRPr="007F17DD">
        <w:rPr>
          <w:rFonts w:ascii="Times New Roman" w:hAnsi="Times New Roman" w:cs="Times New Roman"/>
          <w:color w:val="000000"/>
          <w:kern w:val="0"/>
          <w:sz w:val="16"/>
          <w:szCs w:val="16"/>
          <w:lang w:val="en-GB"/>
        </w:rPr>
        <w:t xml:space="preserve"> dual stock structure reflecting market caps of </w:t>
      </w:r>
      <w:r w:rsidRPr="00741AEE">
        <w:rPr>
          <w:rFonts w:ascii="Times New Roman" w:hAnsi="Times New Roman" w:cs="Times New Roman"/>
          <w:b/>
          <w:bCs/>
          <w:color w:val="000000"/>
          <w:kern w:val="0"/>
          <w:sz w:val="16"/>
          <w:szCs w:val="16"/>
          <w:lang w:val="en-GB"/>
        </w:rPr>
        <w:t xml:space="preserve">$2,351.63 billion </w:t>
      </w:r>
      <w:r w:rsidRPr="007F17DD">
        <w:rPr>
          <w:rFonts w:ascii="Times New Roman" w:hAnsi="Times New Roman" w:cs="Times New Roman"/>
          <w:color w:val="000000"/>
          <w:kern w:val="0"/>
          <w:sz w:val="16"/>
          <w:szCs w:val="16"/>
          <w:lang w:val="en-GB"/>
        </w:rPr>
        <w:t xml:space="preserve">and </w:t>
      </w:r>
      <w:r w:rsidRPr="00741AEE">
        <w:rPr>
          <w:rFonts w:ascii="Times New Roman" w:hAnsi="Times New Roman" w:cs="Times New Roman"/>
          <w:b/>
          <w:bCs/>
          <w:color w:val="000000"/>
          <w:kern w:val="0"/>
          <w:sz w:val="16"/>
          <w:szCs w:val="16"/>
          <w:lang w:val="en-GB"/>
        </w:rPr>
        <w:t>$2,351.62 billion</w:t>
      </w:r>
      <w:r w:rsidRPr="007F17DD">
        <w:rPr>
          <w:rFonts w:ascii="Times New Roman" w:hAnsi="Times New Roman" w:cs="Times New Roman"/>
          <w:color w:val="000000"/>
          <w:kern w:val="0"/>
          <w:sz w:val="16"/>
          <w:szCs w:val="16"/>
          <w:lang w:val="en-GB"/>
        </w:rPr>
        <w:t xml:space="preserve">. Notable entries also include </w:t>
      </w:r>
      <w:r w:rsidRPr="00741AEE">
        <w:rPr>
          <w:rFonts w:ascii="Times New Roman" w:hAnsi="Times New Roman" w:cs="Times New Roman"/>
          <w:b/>
          <w:bCs/>
          <w:color w:val="000000"/>
          <w:kern w:val="0"/>
          <w:sz w:val="16"/>
          <w:szCs w:val="16"/>
          <w:lang w:val="en-GB"/>
        </w:rPr>
        <w:t>Meta Platforms, Inc. ($1,477.46 billion)</w:t>
      </w:r>
      <w:r w:rsidRPr="007F17DD">
        <w:rPr>
          <w:rFonts w:ascii="Times New Roman" w:hAnsi="Times New Roman" w:cs="Times New Roman"/>
          <w:color w:val="000000"/>
          <w:kern w:val="0"/>
          <w:sz w:val="16"/>
          <w:szCs w:val="16"/>
          <w:lang w:val="en-GB"/>
        </w:rPr>
        <w:t xml:space="preserve">, </w:t>
      </w:r>
      <w:r w:rsidRPr="00741AEE">
        <w:rPr>
          <w:rFonts w:ascii="Times New Roman" w:hAnsi="Times New Roman" w:cs="Times New Roman"/>
          <w:b/>
          <w:bCs/>
          <w:color w:val="000000"/>
          <w:kern w:val="0"/>
          <w:sz w:val="16"/>
          <w:szCs w:val="16"/>
          <w:lang w:val="en-GB"/>
        </w:rPr>
        <w:t>Tesla, Inc. ($1,351.63 billion)</w:t>
      </w:r>
      <w:r w:rsidRPr="007F17DD">
        <w:rPr>
          <w:rFonts w:ascii="Times New Roman" w:hAnsi="Times New Roman" w:cs="Times New Roman"/>
          <w:color w:val="000000"/>
          <w:kern w:val="0"/>
          <w:sz w:val="16"/>
          <w:szCs w:val="16"/>
          <w:lang w:val="en-GB"/>
        </w:rPr>
        <w:t xml:space="preserve">, </w:t>
      </w:r>
      <w:r w:rsidRPr="00741AEE">
        <w:rPr>
          <w:rFonts w:ascii="Times New Roman" w:hAnsi="Times New Roman" w:cs="Times New Roman"/>
          <w:b/>
          <w:bCs/>
          <w:color w:val="000000"/>
          <w:kern w:val="0"/>
          <w:sz w:val="16"/>
          <w:szCs w:val="16"/>
          <w:lang w:val="en-GB"/>
        </w:rPr>
        <w:t>Broadcom Inc. ($1,031.22 billion)</w:t>
      </w:r>
      <w:r w:rsidRPr="007F17DD">
        <w:rPr>
          <w:rFonts w:ascii="Times New Roman" w:hAnsi="Times New Roman" w:cs="Times New Roman"/>
          <w:color w:val="000000"/>
          <w:kern w:val="0"/>
          <w:sz w:val="16"/>
          <w:szCs w:val="16"/>
          <w:lang w:val="en-GB"/>
        </w:rPr>
        <w:t xml:space="preserve">, and </w:t>
      </w:r>
      <w:r w:rsidRPr="00741AEE">
        <w:rPr>
          <w:rFonts w:ascii="Times New Roman" w:hAnsi="Times New Roman" w:cs="Times New Roman"/>
          <w:b/>
          <w:bCs/>
          <w:color w:val="000000"/>
          <w:kern w:val="0"/>
          <w:sz w:val="16"/>
          <w:szCs w:val="16"/>
          <w:lang w:val="en-GB"/>
        </w:rPr>
        <w:t>Berkshire Hathaway Inc. ($978.78 billion)</w:t>
      </w:r>
      <w:r w:rsidRPr="007F17DD">
        <w:rPr>
          <w:rFonts w:ascii="Times New Roman" w:hAnsi="Times New Roman" w:cs="Times New Roman"/>
          <w:color w:val="000000"/>
          <w:kern w:val="0"/>
          <w:sz w:val="16"/>
          <w:szCs w:val="16"/>
          <w:lang w:val="en-GB"/>
        </w:rPr>
        <w:t>. These figures illustrate the dominant presence of technology and consumer-driven companies in shaping global market dynamics.</w:t>
      </w:r>
    </w:p>
    <w:p w:rsidR="00FC0943" w:rsidRDefault="00FC0943"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Default="00FC0943"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Default="00FC0943"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7D0B2A" w:rsidRDefault="007D0B2A" w:rsidP="007F17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r>
        <w:rPr>
          <w:rFonts w:ascii="Times New Roman" w:hAnsi="Times New Roman" w:cs="Times New Roman"/>
          <w:b/>
          <w:bCs/>
          <w:color w:val="0B5AB2"/>
          <w:kern w:val="0"/>
          <w:sz w:val="20"/>
          <w:szCs w:val="20"/>
          <w:lang w:val="en-GB"/>
        </w:rPr>
        <w:t xml:space="preserve">3.1.2 </w:t>
      </w:r>
      <w:r w:rsidRPr="00FC0943">
        <w:rPr>
          <w:rFonts w:ascii="Times New Roman" w:hAnsi="Times New Roman" w:cs="Times New Roman"/>
          <w:b/>
          <w:bCs/>
          <w:color w:val="0B5AB2"/>
          <w:kern w:val="0"/>
          <w:sz w:val="20"/>
          <w:szCs w:val="20"/>
          <w:lang w:val="en-GB"/>
        </w:rPr>
        <w:t>Sector-Wise Analysis of Revenue Growth and Workforce Distribution</w:t>
      </w:r>
      <w:r>
        <w:rPr>
          <w:rFonts w:ascii="Times New Roman" w:hAnsi="Times New Roman" w:cs="Times New Roman"/>
          <w:b/>
          <w:bCs/>
          <w:color w:val="0B5AB2"/>
          <w:kern w:val="0"/>
          <w:sz w:val="20"/>
          <w:szCs w:val="20"/>
          <w:lang w:val="en-GB"/>
        </w:rPr>
        <w:t>:</w:t>
      </w:r>
    </w:p>
    <w:p w:rsidR="00B1664A" w:rsidRDefault="00B1664A"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p>
    <w:p w:rsidR="00B1664A" w:rsidRPr="00B1664A" w:rsidRDefault="00B1664A"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r w:rsidRPr="00FC0943">
        <w:rPr>
          <w:noProof/>
        </w:rPr>
        <w:drawing>
          <wp:inline distT="0" distB="0" distL="0" distR="0" wp14:anchorId="428FE8F6">
            <wp:extent cx="2791609" cy="1838325"/>
            <wp:effectExtent l="0" t="0" r="2540" b="3175"/>
            <wp:docPr id="90396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6819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6502" cy="1867888"/>
                    </a:xfrm>
                    <a:prstGeom prst="rect">
                      <a:avLst/>
                    </a:prstGeom>
                  </pic:spPr>
                </pic:pic>
              </a:graphicData>
            </a:graphic>
          </wp:inline>
        </w:drawing>
      </w:r>
      <w:r w:rsidRPr="00B1664A">
        <w:rPr>
          <w:rFonts w:ascii="Times New Roman" w:hAnsi="Times New Roman" w:cs="Times New Roman"/>
          <w:noProof/>
          <w:color w:val="000000"/>
          <w:kern w:val="0"/>
          <w:sz w:val="16"/>
          <w:szCs w:val="16"/>
          <w:lang w:val="en-GB"/>
        </w:rPr>
        <w:drawing>
          <wp:inline distT="0" distB="0" distL="0" distR="0" wp14:anchorId="0EE135D0" wp14:editId="70DA364A">
            <wp:extent cx="2938086" cy="1831012"/>
            <wp:effectExtent l="0" t="0" r="0" b="0"/>
            <wp:docPr id="45581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13344" name=""/>
                    <pic:cNvPicPr/>
                  </pic:nvPicPr>
                  <pic:blipFill>
                    <a:blip r:embed="rId11"/>
                    <a:stretch>
                      <a:fillRect/>
                    </a:stretch>
                  </pic:blipFill>
                  <pic:spPr>
                    <a:xfrm>
                      <a:off x="0" y="0"/>
                      <a:ext cx="3020791" cy="1882554"/>
                    </a:xfrm>
                    <a:prstGeom prst="rect">
                      <a:avLst/>
                    </a:prstGeom>
                  </pic:spPr>
                </pic:pic>
              </a:graphicData>
            </a:graphic>
          </wp:inline>
        </w:drawing>
      </w:r>
    </w:p>
    <w:p w:rsidR="00B1664A" w:rsidRDefault="00B1664A"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P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noProof/>
        </w:rPr>
      </w:pPr>
      <w:r w:rsidRPr="00FC0943">
        <w:rPr>
          <w:rFonts w:ascii="Times New Roman" w:hAnsi="Times New Roman" w:cs="Times New Roman"/>
          <w:color w:val="000000"/>
          <w:kern w:val="0"/>
          <w:sz w:val="16"/>
          <w:szCs w:val="16"/>
          <w:lang w:val="en-GB"/>
        </w:rPr>
        <w:t xml:space="preserve">Revenue Growth by </w:t>
      </w:r>
      <w:r w:rsidR="001F2C88">
        <w:rPr>
          <w:rFonts w:ascii="Times New Roman" w:hAnsi="Times New Roman" w:cs="Times New Roman"/>
          <w:color w:val="000000"/>
          <w:kern w:val="0"/>
          <w:sz w:val="16"/>
          <w:szCs w:val="16"/>
          <w:lang w:val="en-GB"/>
        </w:rPr>
        <w:t>s</w:t>
      </w:r>
      <w:r w:rsidRPr="00FC0943">
        <w:rPr>
          <w:rFonts w:ascii="Times New Roman" w:hAnsi="Times New Roman" w:cs="Times New Roman"/>
          <w:color w:val="000000"/>
          <w:kern w:val="0"/>
          <w:sz w:val="16"/>
          <w:szCs w:val="16"/>
          <w:lang w:val="en-GB"/>
        </w:rPr>
        <w:t>ector</w:t>
      </w:r>
      <w:r>
        <w:rPr>
          <w:rFonts w:ascii="Times New Roman" w:hAnsi="Times New Roman" w:cs="Times New Roman"/>
          <w:color w:val="000000"/>
          <w:kern w:val="0"/>
          <w:sz w:val="16"/>
          <w:szCs w:val="16"/>
          <w:lang w:val="en-GB"/>
        </w:rPr>
        <w:t xml:space="preserve"> </w:t>
      </w:r>
      <w:r w:rsidRPr="00FC0943">
        <w:rPr>
          <w:rFonts w:ascii="Times New Roman" w:hAnsi="Times New Roman" w:cs="Times New Roman"/>
          <w:color w:val="000000"/>
          <w:kern w:val="0"/>
          <w:sz w:val="16"/>
          <w:szCs w:val="16"/>
          <w:lang w:val="en-GB"/>
        </w:rPr>
        <w:t xml:space="preserve">highlighting the variability and central tendencies within each sector. The </w:t>
      </w:r>
      <w:r w:rsidRPr="008428E7">
        <w:rPr>
          <w:rFonts w:ascii="Times New Roman" w:hAnsi="Times New Roman" w:cs="Times New Roman"/>
          <w:b/>
          <w:bCs/>
          <w:color w:val="000000"/>
          <w:kern w:val="0"/>
          <w:sz w:val="16"/>
          <w:szCs w:val="16"/>
          <w:lang w:val="en-GB"/>
        </w:rPr>
        <w:t xml:space="preserve">Financial Services </w:t>
      </w:r>
      <w:r w:rsidRPr="00FC0943">
        <w:rPr>
          <w:rFonts w:ascii="Times New Roman" w:hAnsi="Times New Roman" w:cs="Times New Roman"/>
          <w:color w:val="000000"/>
          <w:kern w:val="0"/>
          <w:sz w:val="16"/>
          <w:szCs w:val="16"/>
          <w:lang w:val="en-GB"/>
        </w:rPr>
        <w:t xml:space="preserve">sector stands out with the highest average revenue growth at </w:t>
      </w:r>
      <w:r w:rsidRPr="008428E7">
        <w:rPr>
          <w:rFonts w:ascii="Times New Roman" w:hAnsi="Times New Roman" w:cs="Times New Roman"/>
          <w:b/>
          <w:bCs/>
          <w:color w:val="000000"/>
          <w:kern w:val="0"/>
          <w:sz w:val="16"/>
          <w:szCs w:val="16"/>
          <w:lang w:val="en-GB"/>
        </w:rPr>
        <w:t>12.30%</w:t>
      </w:r>
      <w:r w:rsidRPr="00FC0943">
        <w:rPr>
          <w:rFonts w:ascii="Times New Roman" w:hAnsi="Times New Roman" w:cs="Times New Roman"/>
          <w:color w:val="000000"/>
          <w:kern w:val="0"/>
          <w:sz w:val="16"/>
          <w:szCs w:val="16"/>
          <w:lang w:val="en-GB"/>
        </w:rPr>
        <w:t xml:space="preserve">, reaching a maximum of </w:t>
      </w:r>
      <w:r w:rsidRPr="008428E7">
        <w:rPr>
          <w:rFonts w:ascii="Times New Roman" w:hAnsi="Times New Roman" w:cs="Times New Roman"/>
          <w:b/>
          <w:bCs/>
          <w:color w:val="000000"/>
          <w:kern w:val="0"/>
          <w:sz w:val="16"/>
          <w:szCs w:val="16"/>
          <w:lang w:val="en-GB"/>
        </w:rPr>
        <w:t>133.4%</w:t>
      </w:r>
      <w:r w:rsidRPr="00FC0943">
        <w:rPr>
          <w:rFonts w:ascii="Times New Roman" w:hAnsi="Times New Roman" w:cs="Times New Roman"/>
          <w:color w:val="000000"/>
          <w:kern w:val="0"/>
          <w:sz w:val="16"/>
          <w:szCs w:val="16"/>
          <w:lang w:val="en-GB"/>
        </w:rPr>
        <w:t xml:space="preserve">, showcasing significant variability and high-performing entities. Similarly, the </w:t>
      </w:r>
      <w:r w:rsidRPr="008428E7">
        <w:rPr>
          <w:rFonts w:ascii="Times New Roman" w:hAnsi="Times New Roman" w:cs="Times New Roman"/>
          <w:b/>
          <w:bCs/>
          <w:color w:val="000000"/>
          <w:kern w:val="0"/>
          <w:sz w:val="16"/>
          <w:szCs w:val="16"/>
          <w:lang w:val="en-GB"/>
        </w:rPr>
        <w:t>Technology</w:t>
      </w:r>
      <w:r w:rsidRPr="00FC0943">
        <w:rPr>
          <w:rFonts w:ascii="Times New Roman" w:hAnsi="Times New Roman" w:cs="Times New Roman"/>
          <w:color w:val="000000"/>
          <w:kern w:val="0"/>
          <w:sz w:val="16"/>
          <w:szCs w:val="16"/>
          <w:lang w:val="en-GB"/>
        </w:rPr>
        <w:t xml:space="preserve"> sector, with an average growth of </w:t>
      </w:r>
      <w:r w:rsidRPr="008428E7">
        <w:rPr>
          <w:rFonts w:ascii="Times New Roman" w:hAnsi="Times New Roman" w:cs="Times New Roman"/>
          <w:b/>
          <w:bCs/>
          <w:color w:val="000000"/>
          <w:kern w:val="0"/>
          <w:sz w:val="16"/>
          <w:szCs w:val="16"/>
          <w:lang w:val="en-GB"/>
        </w:rPr>
        <w:t>11.58%</w:t>
      </w:r>
      <w:r w:rsidRPr="00FC0943">
        <w:rPr>
          <w:rFonts w:ascii="Times New Roman" w:hAnsi="Times New Roman" w:cs="Times New Roman"/>
          <w:color w:val="000000"/>
          <w:kern w:val="0"/>
          <w:sz w:val="16"/>
          <w:szCs w:val="16"/>
          <w:lang w:val="en-GB"/>
        </w:rPr>
        <w:t xml:space="preserve">, demonstrates its dynamic potential and adaptability. On the other hand, sectors like </w:t>
      </w:r>
      <w:r w:rsidRPr="008428E7">
        <w:rPr>
          <w:rFonts w:ascii="Times New Roman" w:hAnsi="Times New Roman" w:cs="Times New Roman"/>
          <w:b/>
          <w:bCs/>
          <w:color w:val="000000"/>
          <w:kern w:val="0"/>
          <w:sz w:val="16"/>
          <w:szCs w:val="16"/>
          <w:lang w:val="en-GB"/>
        </w:rPr>
        <w:t xml:space="preserve">Energy (0.77% average) </w:t>
      </w:r>
      <w:r w:rsidRPr="00FC0943">
        <w:rPr>
          <w:rFonts w:ascii="Times New Roman" w:hAnsi="Times New Roman" w:cs="Times New Roman"/>
          <w:color w:val="000000"/>
          <w:kern w:val="0"/>
          <w:sz w:val="16"/>
          <w:szCs w:val="16"/>
          <w:lang w:val="en-GB"/>
        </w:rPr>
        <w:t xml:space="preserve">and </w:t>
      </w:r>
      <w:r w:rsidRPr="008428E7">
        <w:rPr>
          <w:rFonts w:ascii="Times New Roman" w:hAnsi="Times New Roman" w:cs="Times New Roman"/>
          <w:b/>
          <w:bCs/>
          <w:color w:val="000000"/>
          <w:kern w:val="0"/>
          <w:sz w:val="16"/>
          <w:szCs w:val="16"/>
          <w:lang w:val="en-GB"/>
        </w:rPr>
        <w:t xml:space="preserve">Consumer Defensive (1.03% average) </w:t>
      </w:r>
      <w:r w:rsidRPr="00FC0943">
        <w:rPr>
          <w:rFonts w:ascii="Times New Roman" w:hAnsi="Times New Roman" w:cs="Times New Roman"/>
          <w:color w:val="000000"/>
          <w:kern w:val="0"/>
          <w:sz w:val="16"/>
          <w:szCs w:val="16"/>
          <w:lang w:val="en-GB"/>
        </w:rPr>
        <w:t>exhibit lower and more stable growth rates, reflecting their steady, less volatile nature. This analysis underscores the diversity in growth potential and performance across industries, providing valuable insights into sector-specific dynamics.</w:t>
      </w:r>
    </w:p>
    <w:p w:rsidR="00FC0943" w:rsidRP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r w:rsidRPr="00FC0943">
        <w:rPr>
          <w:rFonts w:ascii="Times New Roman" w:hAnsi="Times New Roman" w:cs="Times New Roman"/>
          <w:color w:val="000000"/>
          <w:kern w:val="0"/>
          <w:sz w:val="16"/>
          <w:szCs w:val="16"/>
          <w:lang w:val="en-GB"/>
        </w:rPr>
        <w:t xml:space="preserve">Employee Distribution by Sector displayed on a logarithmic scale to accommodate wide variations. The </w:t>
      </w:r>
      <w:r w:rsidRPr="008428E7">
        <w:rPr>
          <w:rFonts w:ascii="Times New Roman" w:hAnsi="Times New Roman" w:cs="Times New Roman"/>
          <w:b/>
          <w:bCs/>
          <w:color w:val="000000"/>
          <w:kern w:val="0"/>
          <w:sz w:val="16"/>
          <w:szCs w:val="16"/>
          <w:lang w:val="en-GB"/>
        </w:rPr>
        <w:t xml:space="preserve">Consumer Defensive </w:t>
      </w:r>
      <w:r w:rsidRPr="00FC0943">
        <w:rPr>
          <w:rFonts w:ascii="Times New Roman" w:hAnsi="Times New Roman" w:cs="Times New Roman"/>
          <w:color w:val="000000"/>
          <w:kern w:val="0"/>
          <w:sz w:val="16"/>
          <w:szCs w:val="16"/>
          <w:lang w:val="en-GB"/>
        </w:rPr>
        <w:t xml:space="preserve">sector with an average of </w:t>
      </w:r>
      <w:r w:rsidRPr="008428E7">
        <w:rPr>
          <w:rFonts w:ascii="Times New Roman" w:hAnsi="Times New Roman" w:cs="Times New Roman"/>
          <w:b/>
          <w:bCs/>
          <w:color w:val="000000"/>
          <w:kern w:val="0"/>
          <w:sz w:val="16"/>
          <w:szCs w:val="16"/>
          <w:lang w:val="en-GB"/>
        </w:rPr>
        <w:t>132,277 employees</w:t>
      </w:r>
      <w:r w:rsidRPr="00FC0943">
        <w:rPr>
          <w:rFonts w:ascii="Times New Roman" w:hAnsi="Times New Roman" w:cs="Times New Roman"/>
          <w:color w:val="000000"/>
          <w:kern w:val="0"/>
          <w:sz w:val="16"/>
          <w:szCs w:val="16"/>
          <w:lang w:val="en-GB"/>
        </w:rPr>
        <w:t xml:space="preserve">, emphasizing its labour-intensive nature in industries like retail and food production. The </w:t>
      </w:r>
      <w:r w:rsidRPr="008428E7">
        <w:rPr>
          <w:rFonts w:ascii="Times New Roman" w:hAnsi="Times New Roman" w:cs="Times New Roman"/>
          <w:b/>
          <w:bCs/>
          <w:color w:val="000000"/>
          <w:kern w:val="0"/>
          <w:sz w:val="16"/>
          <w:szCs w:val="16"/>
          <w:lang w:val="en-GB"/>
        </w:rPr>
        <w:t>Consumer</w:t>
      </w:r>
      <w:r w:rsidRPr="00FC0943">
        <w:rPr>
          <w:rFonts w:ascii="Times New Roman" w:hAnsi="Times New Roman" w:cs="Times New Roman"/>
          <w:color w:val="000000"/>
          <w:kern w:val="0"/>
          <w:sz w:val="16"/>
          <w:szCs w:val="16"/>
          <w:lang w:val="en-GB"/>
        </w:rPr>
        <w:t xml:space="preserve"> </w:t>
      </w:r>
      <w:r w:rsidRPr="008428E7">
        <w:rPr>
          <w:rFonts w:ascii="Times New Roman" w:hAnsi="Times New Roman" w:cs="Times New Roman"/>
          <w:b/>
          <w:bCs/>
          <w:color w:val="000000"/>
          <w:kern w:val="0"/>
          <w:sz w:val="16"/>
          <w:szCs w:val="16"/>
          <w:lang w:val="en-GB"/>
        </w:rPr>
        <w:t xml:space="preserve">Cyclical </w:t>
      </w:r>
      <w:r w:rsidRPr="00FC0943">
        <w:rPr>
          <w:rFonts w:ascii="Times New Roman" w:hAnsi="Times New Roman" w:cs="Times New Roman"/>
          <w:color w:val="000000"/>
          <w:kern w:val="0"/>
          <w:sz w:val="16"/>
          <w:szCs w:val="16"/>
          <w:lang w:val="en-GB"/>
        </w:rPr>
        <w:t xml:space="preserve">sector, averaging </w:t>
      </w:r>
      <w:r w:rsidRPr="008428E7">
        <w:rPr>
          <w:rFonts w:ascii="Times New Roman" w:hAnsi="Times New Roman" w:cs="Times New Roman"/>
          <w:b/>
          <w:bCs/>
          <w:color w:val="000000"/>
          <w:kern w:val="0"/>
          <w:sz w:val="16"/>
          <w:szCs w:val="16"/>
          <w:lang w:val="en-GB"/>
        </w:rPr>
        <w:t>111,910 employees</w:t>
      </w:r>
      <w:r w:rsidRPr="00FC0943">
        <w:rPr>
          <w:rFonts w:ascii="Times New Roman" w:hAnsi="Times New Roman" w:cs="Times New Roman"/>
          <w:color w:val="000000"/>
          <w:kern w:val="0"/>
          <w:sz w:val="16"/>
          <w:szCs w:val="16"/>
          <w:lang w:val="en-GB"/>
        </w:rPr>
        <w:t xml:space="preserve">, also reflects workforce scalability. In contrast, sectors like </w:t>
      </w:r>
      <w:r w:rsidRPr="008428E7">
        <w:rPr>
          <w:rFonts w:ascii="Times New Roman" w:hAnsi="Times New Roman" w:cs="Times New Roman"/>
          <w:b/>
          <w:bCs/>
          <w:color w:val="000000"/>
          <w:kern w:val="0"/>
          <w:sz w:val="16"/>
          <w:szCs w:val="16"/>
          <w:lang w:val="en-GB"/>
        </w:rPr>
        <w:t xml:space="preserve">Real Estate (7,723 employees) </w:t>
      </w:r>
      <w:r w:rsidRPr="00FC0943">
        <w:rPr>
          <w:rFonts w:ascii="Times New Roman" w:hAnsi="Times New Roman" w:cs="Times New Roman"/>
          <w:color w:val="000000"/>
          <w:kern w:val="0"/>
          <w:sz w:val="16"/>
          <w:szCs w:val="16"/>
          <w:lang w:val="en-GB"/>
        </w:rPr>
        <w:t xml:space="preserve">and </w:t>
      </w:r>
      <w:r w:rsidRPr="008428E7">
        <w:rPr>
          <w:rFonts w:ascii="Times New Roman" w:hAnsi="Times New Roman" w:cs="Times New Roman"/>
          <w:b/>
          <w:bCs/>
          <w:color w:val="000000"/>
          <w:kern w:val="0"/>
          <w:sz w:val="16"/>
          <w:szCs w:val="16"/>
          <w:lang w:val="en-GB"/>
        </w:rPr>
        <w:t xml:space="preserve">Utilities (14,603 employees) </w:t>
      </w:r>
      <w:r w:rsidRPr="00FC0943">
        <w:rPr>
          <w:rFonts w:ascii="Times New Roman" w:hAnsi="Times New Roman" w:cs="Times New Roman"/>
          <w:color w:val="000000"/>
          <w:kern w:val="0"/>
          <w:sz w:val="16"/>
          <w:szCs w:val="16"/>
          <w:lang w:val="en-GB"/>
        </w:rPr>
        <w:t xml:space="preserve">have relatively smaller workforce requirements, consistent with their focused operations. Outliers in sectors such as </w:t>
      </w:r>
      <w:r w:rsidRPr="008428E7">
        <w:rPr>
          <w:rFonts w:ascii="Times New Roman" w:hAnsi="Times New Roman" w:cs="Times New Roman"/>
          <w:b/>
          <w:bCs/>
          <w:color w:val="000000"/>
          <w:kern w:val="0"/>
          <w:sz w:val="16"/>
          <w:szCs w:val="16"/>
          <w:lang w:val="en-GB"/>
        </w:rPr>
        <w:t xml:space="preserve">Consumer Defensive </w:t>
      </w:r>
      <w:r w:rsidRPr="00FC0943">
        <w:rPr>
          <w:rFonts w:ascii="Times New Roman" w:hAnsi="Times New Roman" w:cs="Times New Roman"/>
          <w:color w:val="000000"/>
          <w:kern w:val="0"/>
          <w:sz w:val="16"/>
          <w:szCs w:val="16"/>
          <w:lang w:val="en-GB"/>
        </w:rPr>
        <w:t xml:space="preserve">and </w:t>
      </w:r>
      <w:r w:rsidRPr="008428E7">
        <w:rPr>
          <w:rFonts w:ascii="Times New Roman" w:hAnsi="Times New Roman" w:cs="Times New Roman"/>
          <w:b/>
          <w:bCs/>
          <w:color w:val="000000"/>
          <w:kern w:val="0"/>
          <w:sz w:val="16"/>
          <w:szCs w:val="16"/>
          <w:lang w:val="en-GB"/>
        </w:rPr>
        <w:t xml:space="preserve">Cyclical </w:t>
      </w:r>
      <w:r w:rsidRPr="00FC0943">
        <w:rPr>
          <w:rFonts w:ascii="Times New Roman" w:hAnsi="Times New Roman" w:cs="Times New Roman"/>
          <w:color w:val="000000"/>
          <w:kern w:val="0"/>
          <w:sz w:val="16"/>
          <w:szCs w:val="16"/>
          <w:lang w:val="en-GB"/>
        </w:rPr>
        <w:t xml:space="preserve">highlight the presence of some of the largest global employers, </w:t>
      </w:r>
      <w:r w:rsidR="00574437">
        <w:rPr>
          <w:rFonts w:ascii="Times New Roman" w:hAnsi="Times New Roman" w:cs="Times New Roman"/>
          <w:color w:val="000000"/>
          <w:kern w:val="0"/>
          <w:sz w:val="16"/>
          <w:szCs w:val="16"/>
          <w:lang w:val="en-GB"/>
        </w:rPr>
        <w:t>shows</w:t>
      </w:r>
      <w:r w:rsidRPr="00FC0943">
        <w:rPr>
          <w:rFonts w:ascii="Times New Roman" w:hAnsi="Times New Roman" w:cs="Times New Roman"/>
          <w:color w:val="000000"/>
          <w:kern w:val="0"/>
          <w:sz w:val="16"/>
          <w:szCs w:val="16"/>
          <w:lang w:val="en-GB"/>
        </w:rPr>
        <w:t xml:space="preserve"> the diverse workforce dynamics across industries.</w:t>
      </w: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r>
        <w:rPr>
          <w:rFonts w:ascii="Times New Roman" w:hAnsi="Times New Roman" w:cs="Times New Roman"/>
          <w:b/>
          <w:bCs/>
          <w:color w:val="0B5AB2"/>
          <w:kern w:val="0"/>
          <w:sz w:val="20"/>
          <w:szCs w:val="20"/>
          <w:lang w:val="en-GB"/>
        </w:rPr>
        <w:t xml:space="preserve">3.1.3 </w:t>
      </w:r>
      <w:r w:rsidRPr="00FC0943">
        <w:rPr>
          <w:rFonts w:ascii="Times New Roman" w:hAnsi="Times New Roman" w:cs="Times New Roman"/>
          <w:b/>
          <w:bCs/>
          <w:color w:val="0B5AB2"/>
          <w:kern w:val="0"/>
          <w:sz w:val="20"/>
          <w:szCs w:val="20"/>
          <w:lang w:val="en-GB"/>
        </w:rPr>
        <w:t xml:space="preserve">Sector-Wise </w:t>
      </w:r>
      <w:r w:rsidR="003353E1">
        <w:rPr>
          <w:rFonts w:ascii="Times New Roman" w:hAnsi="Times New Roman" w:cs="Times New Roman"/>
          <w:b/>
          <w:bCs/>
          <w:color w:val="0B5AB2"/>
          <w:kern w:val="0"/>
          <w:sz w:val="20"/>
          <w:szCs w:val="20"/>
          <w:lang w:val="en-GB"/>
        </w:rPr>
        <w:t xml:space="preserve">Correlation </w:t>
      </w:r>
      <w:r w:rsidRPr="00FC0943">
        <w:rPr>
          <w:rFonts w:ascii="Times New Roman" w:hAnsi="Times New Roman" w:cs="Times New Roman"/>
          <w:b/>
          <w:bCs/>
          <w:color w:val="0B5AB2"/>
          <w:kern w:val="0"/>
          <w:sz w:val="20"/>
          <w:szCs w:val="20"/>
          <w:lang w:val="en-GB"/>
        </w:rPr>
        <w:t xml:space="preserve">Analysis of </w:t>
      </w:r>
      <w:r w:rsidR="00306817">
        <w:rPr>
          <w:rFonts w:ascii="Times New Roman" w:hAnsi="Times New Roman" w:cs="Times New Roman"/>
          <w:b/>
          <w:bCs/>
          <w:color w:val="0B5AB2"/>
          <w:kern w:val="0"/>
          <w:sz w:val="20"/>
          <w:szCs w:val="20"/>
          <w:lang w:val="en-GB"/>
        </w:rPr>
        <w:t>Market Cap and EBITDA</w:t>
      </w:r>
      <w:r>
        <w:rPr>
          <w:rFonts w:ascii="Times New Roman" w:hAnsi="Times New Roman" w:cs="Times New Roman"/>
          <w:b/>
          <w:bCs/>
          <w:color w:val="0B5AB2"/>
          <w:kern w:val="0"/>
          <w:sz w:val="20"/>
          <w:szCs w:val="20"/>
          <w:lang w:val="en-GB"/>
        </w:rPr>
        <w:t>:</w:t>
      </w: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r w:rsidRPr="00FC0943">
        <w:rPr>
          <w:rFonts w:ascii="Times New Roman" w:hAnsi="Times New Roman" w:cs="Times New Roman"/>
          <w:b/>
          <w:bCs/>
          <w:noProof/>
          <w:color w:val="0B5AB2"/>
          <w:kern w:val="0"/>
          <w:sz w:val="20"/>
          <w:szCs w:val="20"/>
          <w:lang w:val="en-GB"/>
        </w:rPr>
        <w:drawing>
          <wp:inline distT="0" distB="0" distL="0" distR="0" wp14:anchorId="70F7AFE1" wp14:editId="3B36305D">
            <wp:extent cx="5731510" cy="2903220"/>
            <wp:effectExtent l="0" t="0" r="0" b="5080"/>
            <wp:docPr id="126066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63392" name=""/>
                    <pic:cNvPicPr/>
                  </pic:nvPicPr>
                  <pic:blipFill>
                    <a:blip r:embed="rId12"/>
                    <a:stretch>
                      <a:fillRect/>
                    </a:stretch>
                  </pic:blipFill>
                  <pic:spPr>
                    <a:xfrm>
                      <a:off x="0" y="0"/>
                      <a:ext cx="5731510" cy="2903220"/>
                    </a:xfrm>
                    <a:prstGeom prst="rect">
                      <a:avLst/>
                    </a:prstGeom>
                  </pic:spPr>
                </pic:pic>
              </a:graphicData>
            </a:graphic>
          </wp:inline>
        </w:drawing>
      </w:r>
    </w:p>
    <w:p w:rsidR="00FC0943" w:rsidRP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P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r w:rsidRPr="00FC0943">
        <w:rPr>
          <w:rFonts w:ascii="Times New Roman" w:hAnsi="Times New Roman" w:cs="Times New Roman"/>
          <w:color w:val="000000"/>
          <w:kern w:val="0"/>
          <w:sz w:val="16"/>
          <w:szCs w:val="16"/>
          <w:lang w:val="en-GB"/>
        </w:rPr>
        <w:t xml:space="preserve">The </w:t>
      </w:r>
      <w:r w:rsidRPr="005C05B6">
        <w:rPr>
          <w:rFonts w:ascii="Times New Roman" w:hAnsi="Times New Roman" w:cs="Times New Roman"/>
          <w:b/>
          <w:bCs/>
          <w:color w:val="000000"/>
          <w:kern w:val="0"/>
          <w:sz w:val="16"/>
          <w:szCs w:val="16"/>
          <w:lang w:val="en-GB"/>
        </w:rPr>
        <w:t xml:space="preserve">Communication Services </w:t>
      </w:r>
      <w:r w:rsidRPr="00FC0943">
        <w:rPr>
          <w:rFonts w:ascii="Times New Roman" w:hAnsi="Times New Roman" w:cs="Times New Roman"/>
          <w:color w:val="000000"/>
          <w:kern w:val="0"/>
          <w:sz w:val="16"/>
          <w:szCs w:val="16"/>
          <w:lang w:val="en-GB"/>
        </w:rPr>
        <w:t xml:space="preserve">sector </w:t>
      </w:r>
      <w:r>
        <w:rPr>
          <w:rFonts w:ascii="Times New Roman" w:hAnsi="Times New Roman" w:cs="Times New Roman"/>
          <w:color w:val="000000"/>
          <w:kern w:val="0"/>
          <w:sz w:val="16"/>
          <w:szCs w:val="16"/>
          <w:lang w:val="en-GB"/>
        </w:rPr>
        <w:t>with</w:t>
      </w:r>
      <w:r w:rsidRPr="00FC0943">
        <w:rPr>
          <w:rFonts w:ascii="Times New Roman" w:hAnsi="Times New Roman" w:cs="Times New Roman"/>
          <w:color w:val="000000"/>
          <w:kern w:val="0"/>
          <w:sz w:val="16"/>
          <w:szCs w:val="16"/>
          <w:lang w:val="en-GB"/>
        </w:rPr>
        <w:t xml:space="preserve"> average market capitalization </w:t>
      </w:r>
      <w:r w:rsidRPr="005C05B6">
        <w:rPr>
          <w:rFonts w:ascii="Times New Roman" w:hAnsi="Times New Roman" w:cs="Times New Roman"/>
          <w:b/>
          <w:bCs/>
          <w:color w:val="000000"/>
          <w:kern w:val="0"/>
          <w:sz w:val="16"/>
          <w:szCs w:val="16"/>
          <w:lang w:val="en-GB"/>
        </w:rPr>
        <w:t xml:space="preserve">($354.73 billion) </w:t>
      </w:r>
      <w:r w:rsidRPr="00FC0943">
        <w:rPr>
          <w:rFonts w:ascii="Times New Roman" w:hAnsi="Times New Roman" w:cs="Times New Roman"/>
          <w:color w:val="000000"/>
          <w:kern w:val="0"/>
          <w:sz w:val="16"/>
          <w:szCs w:val="16"/>
          <w:lang w:val="en-GB"/>
        </w:rPr>
        <w:t xml:space="preserve">maintains a strong </w:t>
      </w:r>
      <w:r w:rsidRPr="005C05B6">
        <w:rPr>
          <w:rFonts w:ascii="Times New Roman" w:hAnsi="Times New Roman" w:cs="Times New Roman"/>
          <w:b/>
          <w:bCs/>
          <w:color w:val="000000"/>
          <w:kern w:val="0"/>
          <w:sz w:val="16"/>
          <w:szCs w:val="16"/>
          <w:lang w:val="en-GB"/>
        </w:rPr>
        <w:t>EBITDA ($25.51 billion)</w:t>
      </w:r>
      <w:r w:rsidRPr="00FC0943">
        <w:rPr>
          <w:rFonts w:ascii="Times New Roman" w:hAnsi="Times New Roman" w:cs="Times New Roman"/>
          <w:color w:val="000000"/>
          <w:kern w:val="0"/>
          <w:sz w:val="16"/>
          <w:szCs w:val="16"/>
          <w:lang w:val="en-GB"/>
        </w:rPr>
        <w:t xml:space="preserve">, reflecting the dominance of companies in media, telecommunications, and online services. The </w:t>
      </w:r>
      <w:r w:rsidRPr="005C05B6">
        <w:rPr>
          <w:rFonts w:ascii="Times New Roman" w:hAnsi="Times New Roman" w:cs="Times New Roman"/>
          <w:b/>
          <w:bCs/>
          <w:color w:val="000000"/>
          <w:kern w:val="0"/>
          <w:sz w:val="16"/>
          <w:szCs w:val="16"/>
          <w:lang w:val="en-GB"/>
        </w:rPr>
        <w:t>Technology</w:t>
      </w:r>
      <w:r w:rsidRPr="00FC0943">
        <w:rPr>
          <w:rFonts w:ascii="Times New Roman" w:hAnsi="Times New Roman" w:cs="Times New Roman"/>
          <w:color w:val="000000"/>
          <w:kern w:val="0"/>
          <w:sz w:val="16"/>
          <w:szCs w:val="16"/>
          <w:lang w:val="en-GB"/>
        </w:rPr>
        <w:t xml:space="preserve"> sector, with an average market cap of </w:t>
      </w:r>
      <w:r w:rsidRPr="005C05B6">
        <w:rPr>
          <w:rFonts w:ascii="Times New Roman" w:hAnsi="Times New Roman" w:cs="Times New Roman"/>
          <w:b/>
          <w:bCs/>
          <w:color w:val="000000"/>
          <w:kern w:val="0"/>
          <w:sz w:val="16"/>
          <w:szCs w:val="16"/>
          <w:lang w:val="en-GB"/>
        </w:rPr>
        <w:t xml:space="preserve">$210.82 billion </w:t>
      </w:r>
      <w:r w:rsidRPr="00FC0943">
        <w:rPr>
          <w:rFonts w:ascii="Times New Roman" w:hAnsi="Times New Roman" w:cs="Times New Roman"/>
          <w:color w:val="000000"/>
          <w:kern w:val="0"/>
          <w:sz w:val="16"/>
          <w:szCs w:val="16"/>
          <w:lang w:val="en-GB"/>
        </w:rPr>
        <w:t xml:space="preserve">and an </w:t>
      </w:r>
      <w:r w:rsidRPr="005C05B6">
        <w:rPr>
          <w:rFonts w:ascii="Times New Roman" w:hAnsi="Times New Roman" w:cs="Times New Roman"/>
          <w:b/>
          <w:bCs/>
          <w:color w:val="000000"/>
          <w:kern w:val="0"/>
          <w:sz w:val="16"/>
          <w:szCs w:val="16"/>
          <w:lang w:val="en-GB"/>
        </w:rPr>
        <w:t xml:space="preserve">EBITDA </w:t>
      </w:r>
      <w:r w:rsidRPr="00FC0943">
        <w:rPr>
          <w:rFonts w:ascii="Times New Roman" w:hAnsi="Times New Roman" w:cs="Times New Roman"/>
          <w:color w:val="000000"/>
          <w:kern w:val="0"/>
          <w:sz w:val="16"/>
          <w:szCs w:val="16"/>
          <w:lang w:val="en-GB"/>
        </w:rPr>
        <w:t xml:space="preserve">of </w:t>
      </w:r>
      <w:r w:rsidRPr="005C05B6">
        <w:rPr>
          <w:rFonts w:ascii="Times New Roman" w:hAnsi="Times New Roman" w:cs="Times New Roman"/>
          <w:b/>
          <w:bCs/>
          <w:color w:val="000000"/>
          <w:kern w:val="0"/>
          <w:sz w:val="16"/>
          <w:szCs w:val="16"/>
          <w:lang w:val="en-GB"/>
        </w:rPr>
        <w:t>$7.65 billion</w:t>
      </w:r>
      <w:r w:rsidRPr="00FC0943">
        <w:rPr>
          <w:rFonts w:ascii="Times New Roman" w:hAnsi="Times New Roman" w:cs="Times New Roman"/>
          <w:color w:val="000000"/>
          <w:kern w:val="0"/>
          <w:sz w:val="16"/>
          <w:szCs w:val="16"/>
          <w:lang w:val="en-GB"/>
        </w:rPr>
        <w:t xml:space="preserve">, underscores its critical role in innovation and profitability. Sectors like </w:t>
      </w:r>
      <w:r w:rsidRPr="005C05B6">
        <w:rPr>
          <w:rFonts w:ascii="Times New Roman" w:hAnsi="Times New Roman" w:cs="Times New Roman"/>
          <w:b/>
          <w:bCs/>
          <w:color w:val="000000"/>
          <w:kern w:val="0"/>
          <w:sz w:val="16"/>
          <w:szCs w:val="16"/>
          <w:lang w:val="en-GB"/>
        </w:rPr>
        <w:t xml:space="preserve">Energy </w:t>
      </w:r>
      <w:r w:rsidRPr="00FC0943">
        <w:rPr>
          <w:rFonts w:ascii="Times New Roman" w:hAnsi="Times New Roman" w:cs="Times New Roman"/>
          <w:color w:val="000000"/>
          <w:kern w:val="0"/>
          <w:sz w:val="16"/>
          <w:szCs w:val="16"/>
          <w:lang w:val="en-GB"/>
        </w:rPr>
        <w:t xml:space="preserve">and </w:t>
      </w:r>
      <w:r w:rsidRPr="005C05B6">
        <w:rPr>
          <w:rFonts w:ascii="Times New Roman" w:hAnsi="Times New Roman" w:cs="Times New Roman"/>
          <w:b/>
          <w:bCs/>
          <w:color w:val="000000"/>
          <w:kern w:val="0"/>
          <w:sz w:val="16"/>
          <w:szCs w:val="16"/>
          <w:lang w:val="en-GB"/>
        </w:rPr>
        <w:t xml:space="preserve">Financial Services </w:t>
      </w:r>
      <w:r w:rsidRPr="00FC0943">
        <w:rPr>
          <w:rFonts w:ascii="Times New Roman" w:hAnsi="Times New Roman" w:cs="Times New Roman"/>
          <w:color w:val="000000"/>
          <w:kern w:val="0"/>
          <w:sz w:val="16"/>
          <w:szCs w:val="16"/>
          <w:lang w:val="en-GB"/>
        </w:rPr>
        <w:t xml:space="preserve">show robust </w:t>
      </w:r>
      <w:r w:rsidRPr="005C05B6">
        <w:rPr>
          <w:rFonts w:ascii="Times New Roman" w:hAnsi="Times New Roman" w:cs="Times New Roman"/>
          <w:b/>
          <w:bCs/>
          <w:color w:val="000000"/>
          <w:kern w:val="0"/>
          <w:sz w:val="16"/>
          <w:szCs w:val="16"/>
          <w:lang w:val="en-GB"/>
        </w:rPr>
        <w:t xml:space="preserve">EBITDA </w:t>
      </w:r>
      <w:r w:rsidRPr="00FC0943">
        <w:rPr>
          <w:rFonts w:ascii="Times New Roman" w:hAnsi="Times New Roman" w:cs="Times New Roman"/>
          <w:color w:val="000000"/>
          <w:kern w:val="0"/>
          <w:sz w:val="16"/>
          <w:szCs w:val="16"/>
          <w:lang w:val="en-GB"/>
        </w:rPr>
        <w:t xml:space="preserve">values </w:t>
      </w:r>
      <w:r w:rsidRPr="005C05B6">
        <w:rPr>
          <w:rFonts w:ascii="Times New Roman" w:hAnsi="Times New Roman" w:cs="Times New Roman"/>
          <w:b/>
          <w:bCs/>
          <w:color w:val="000000"/>
          <w:kern w:val="0"/>
          <w:sz w:val="16"/>
          <w:szCs w:val="16"/>
          <w:lang w:val="en-GB"/>
        </w:rPr>
        <w:t>($11.70 billion and $8.87 billion, respectively)</w:t>
      </w:r>
      <w:r w:rsidRPr="00FC0943">
        <w:rPr>
          <w:rFonts w:ascii="Times New Roman" w:hAnsi="Times New Roman" w:cs="Times New Roman"/>
          <w:color w:val="000000"/>
          <w:kern w:val="0"/>
          <w:sz w:val="16"/>
          <w:szCs w:val="16"/>
          <w:lang w:val="en-GB"/>
        </w:rPr>
        <w:t>, emphasizing their stable cash flow despite comparatively lower average market caps.</w:t>
      </w:r>
    </w:p>
    <w:p w:rsidR="00FC0943" w:rsidRP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P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rPr>
      </w:pPr>
      <w:r w:rsidRPr="00FC0943">
        <w:rPr>
          <w:rFonts w:ascii="Times New Roman" w:hAnsi="Times New Roman" w:cs="Times New Roman"/>
          <w:color w:val="000000"/>
          <w:kern w:val="0"/>
          <w:sz w:val="16"/>
          <w:szCs w:val="16"/>
          <w:lang w:val="en-GB"/>
        </w:rPr>
        <w:t xml:space="preserve">In contrast, </w:t>
      </w:r>
      <w:r w:rsidRPr="005C05B6">
        <w:rPr>
          <w:rFonts w:ascii="Times New Roman" w:hAnsi="Times New Roman" w:cs="Times New Roman"/>
          <w:b/>
          <w:bCs/>
          <w:color w:val="000000"/>
          <w:kern w:val="0"/>
          <w:sz w:val="16"/>
          <w:szCs w:val="16"/>
          <w:lang w:val="en-GB"/>
        </w:rPr>
        <w:t xml:space="preserve">Real Estate </w:t>
      </w:r>
      <w:r w:rsidRPr="00FC0943">
        <w:rPr>
          <w:rFonts w:ascii="Times New Roman" w:hAnsi="Times New Roman" w:cs="Times New Roman"/>
          <w:color w:val="000000"/>
          <w:kern w:val="0"/>
          <w:sz w:val="16"/>
          <w:szCs w:val="16"/>
          <w:lang w:val="en-GB"/>
        </w:rPr>
        <w:t xml:space="preserve">exhibits the lowest average market cap </w:t>
      </w:r>
      <w:r w:rsidRPr="005C05B6">
        <w:rPr>
          <w:rFonts w:ascii="Times New Roman" w:hAnsi="Times New Roman" w:cs="Times New Roman"/>
          <w:b/>
          <w:bCs/>
          <w:color w:val="000000"/>
          <w:kern w:val="0"/>
          <w:sz w:val="16"/>
          <w:szCs w:val="16"/>
          <w:lang w:val="en-GB"/>
        </w:rPr>
        <w:t>($34.89 billion)</w:t>
      </w:r>
      <w:r w:rsidRPr="00FC0943">
        <w:rPr>
          <w:rFonts w:ascii="Times New Roman" w:hAnsi="Times New Roman" w:cs="Times New Roman"/>
          <w:color w:val="000000"/>
          <w:kern w:val="0"/>
          <w:sz w:val="16"/>
          <w:szCs w:val="16"/>
          <w:lang w:val="en-GB"/>
        </w:rPr>
        <w:t xml:space="preserve"> and </w:t>
      </w:r>
      <w:r w:rsidRPr="005C05B6">
        <w:rPr>
          <w:rFonts w:ascii="Times New Roman" w:hAnsi="Times New Roman" w:cs="Times New Roman"/>
          <w:b/>
          <w:bCs/>
          <w:color w:val="000000"/>
          <w:kern w:val="0"/>
          <w:sz w:val="16"/>
          <w:szCs w:val="16"/>
          <w:lang w:val="en-GB"/>
        </w:rPr>
        <w:t>EBITDA ($2.31 billion)</w:t>
      </w:r>
      <w:r w:rsidRPr="00FC0943">
        <w:rPr>
          <w:rFonts w:ascii="Times New Roman" w:hAnsi="Times New Roman" w:cs="Times New Roman"/>
          <w:color w:val="000000"/>
          <w:kern w:val="0"/>
          <w:sz w:val="16"/>
          <w:szCs w:val="16"/>
          <w:lang w:val="en-GB"/>
        </w:rPr>
        <w:t>, consistent with its narrower operational focus. This scatter plot effectively illustrates the financial dynamics and profitability patterns across sectors, aiding in identifying industry-specific trends and outliers. </w:t>
      </w: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2F7A7A" w:rsidRDefault="002F7A7A"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r>
        <w:rPr>
          <w:rFonts w:ascii="Times New Roman" w:hAnsi="Times New Roman" w:cs="Times New Roman"/>
          <w:b/>
          <w:bCs/>
          <w:color w:val="0B5AB2"/>
          <w:kern w:val="0"/>
          <w:sz w:val="20"/>
          <w:szCs w:val="20"/>
          <w:lang w:val="en-GB"/>
        </w:rPr>
        <w:t xml:space="preserve">3.1.4 </w:t>
      </w:r>
      <w:r w:rsidRPr="00FC0943">
        <w:rPr>
          <w:rFonts w:ascii="Times New Roman" w:hAnsi="Times New Roman" w:cs="Times New Roman"/>
          <w:b/>
          <w:bCs/>
          <w:color w:val="0B5AB2"/>
          <w:kern w:val="0"/>
          <w:sz w:val="20"/>
          <w:szCs w:val="20"/>
          <w:lang w:val="en-GB"/>
        </w:rPr>
        <w:t xml:space="preserve">Sector-Wise Analysis of </w:t>
      </w:r>
      <w:r w:rsidR="00FF3746">
        <w:rPr>
          <w:rFonts w:ascii="Times New Roman" w:hAnsi="Times New Roman" w:cs="Times New Roman"/>
          <w:b/>
          <w:bCs/>
          <w:color w:val="0B5AB2"/>
          <w:kern w:val="0"/>
          <w:sz w:val="20"/>
          <w:szCs w:val="20"/>
          <w:lang w:val="en-GB"/>
        </w:rPr>
        <w:t xml:space="preserve">Market Capitalization, </w:t>
      </w:r>
      <w:r w:rsidRPr="00FC0943">
        <w:rPr>
          <w:rFonts w:ascii="Times New Roman" w:hAnsi="Times New Roman" w:cs="Times New Roman"/>
          <w:b/>
          <w:bCs/>
          <w:color w:val="0B5AB2"/>
          <w:kern w:val="0"/>
          <w:sz w:val="20"/>
          <w:szCs w:val="20"/>
          <w:lang w:val="en-GB"/>
        </w:rPr>
        <w:t>Revenue Growth</w:t>
      </w:r>
      <w:r w:rsidR="00FF3746">
        <w:rPr>
          <w:rFonts w:ascii="Times New Roman" w:hAnsi="Times New Roman" w:cs="Times New Roman"/>
          <w:b/>
          <w:bCs/>
          <w:color w:val="0B5AB2"/>
          <w:kern w:val="0"/>
          <w:sz w:val="20"/>
          <w:szCs w:val="20"/>
          <w:lang w:val="en-GB"/>
        </w:rPr>
        <w:t>,</w:t>
      </w:r>
      <w:r w:rsidRPr="00FC0943">
        <w:rPr>
          <w:rFonts w:ascii="Times New Roman" w:hAnsi="Times New Roman" w:cs="Times New Roman"/>
          <w:b/>
          <w:bCs/>
          <w:color w:val="0B5AB2"/>
          <w:kern w:val="0"/>
          <w:sz w:val="20"/>
          <w:szCs w:val="20"/>
          <w:lang w:val="en-GB"/>
        </w:rPr>
        <w:t xml:space="preserve"> and Workforce Distribution</w:t>
      </w:r>
      <w:r w:rsidR="00B73C78">
        <w:rPr>
          <w:rFonts w:ascii="Times New Roman" w:hAnsi="Times New Roman" w:cs="Times New Roman"/>
          <w:b/>
          <w:bCs/>
          <w:color w:val="0B5AB2"/>
          <w:kern w:val="0"/>
          <w:sz w:val="20"/>
          <w:szCs w:val="20"/>
          <w:lang w:val="en-GB"/>
        </w:rPr>
        <w:t xml:space="preserve"> (Main Question)</w:t>
      </w:r>
      <w:r>
        <w:rPr>
          <w:rFonts w:ascii="Times New Roman" w:hAnsi="Times New Roman" w:cs="Times New Roman"/>
          <w:b/>
          <w:bCs/>
          <w:color w:val="0B5AB2"/>
          <w:kern w:val="0"/>
          <w:sz w:val="20"/>
          <w:szCs w:val="20"/>
          <w:lang w:val="en-GB"/>
        </w:rPr>
        <w:t>:</w:t>
      </w:r>
    </w:p>
    <w:p w:rsidR="00543943" w:rsidRDefault="00543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p>
    <w:p w:rsidR="00FC0943" w:rsidRDefault="009704A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lang w:val="en-GB"/>
        </w:rPr>
      </w:pPr>
      <w:r w:rsidRPr="009704A3">
        <w:rPr>
          <w:rFonts w:ascii="Times New Roman" w:hAnsi="Times New Roman" w:cs="Times New Roman"/>
          <w:b/>
          <w:bCs/>
          <w:noProof/>
          <w:color w:val="0B5AB2"/>
          <w:kern w:val="0"/>
          <w:sz w:val="20"/>
          <w:szCs w:val="20"/>
          <w:lang w:val="en-GB"/>
        </w:rPr>
        <w:drawing>
          <wp:inline distT="0" distB="0" distL="0" distR="0" wp14:anchorId="79D72AAB" wp14:editId="74D1D450">
            <wp:extent cx="5731510" cy="5708015"/>
            <wp:effectExtent l="0" t="0" r="0" b="0"/>
            <wp:docPr id="510452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52395" name=""/>
                    <pic:cNvPicPr/>
                  </pic:nvPicPr>
                  <pic:blipFill>
                    <a:blip r:embed="rId13"/>
                    <a:stretch>
                      <a:fillRect/>
                    </a:stretch>
                  </pic:blipFill>
                  <pic:spPr>
                    <a:xfrm>
                      <a:off x="0" y="0"/>
                      <a:ext cx="5731510" cy="5708015"/>
                    </a:xfrm>
                    <a:prstGeom prst="rect">
                      <a:avLst/>
                    </a:prstGeom>
                  </pic:spPr>
                </pic:pic>
              </a:graphicData>
            </a:graphic>
          </wp:inline>
        </w:drawing>
      </w:r>
    </w:p>
    <w:p w:rsidR="000E462E" w:rsidRDefault="000E462E" w:rsidP="00543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543943" w:rsidRDefault="00543943" w:rsidP="00543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r w:rsidRPr="00543943">
        <w:rPr>
          <w:rFonts w:ascii="Times New Roman" w:hAnsi="Times New Roman" w:cs="Times New Roman"/>
          <w:color w:val="000000"/>
          <w:kern w:val="0"/>
          <w:sz w:val="16"/>
          <w:szCs w:val="16"/>
          <w:lang w:val="en-GB"/>
        </w:rPr>
        <w:t xml:space="preserve">These </w:t>
      </w:r>
      <w:r w:rsidR="009704A3">
        <w:rPr>
          <w:rFonts w:ascii="Times New Roman" w:hAnsi="Times New Roman" w:cs="Times New Roman"/>
          <w:color w:val="000000"/>
          <w:kern w:val="0"/>
          <w:sz w:val="16"/>
          <w:szCs w:val="16"/>
          <w:lang w:val="en-GB"/>
        </w:rPr>
        <w:t xml:space="preserve">above </w:t>
      </w:r>
      <w:r w:rsidRPr="00543943">
        <w:rPr>
          <w:rFonts w:ascii="Times New Roman" w:hAnsi="Times New Roman" w:cs="Times New Roman"/>
          <w:color w:val="000000"/>
          <w:kern w:val="0"/>
          <w:sz w:val="16"/>
          <w:szCs w:val="16"/>
          <w:lang w:val="en-GB"/>
        </w:rPr>
        <w:t xml:space="preserve">visuals address the central question of the project by analysing the top-performing sectors in the S&amp;P 500 across key financial and operational metrics: </w:t>
      </w:r>
      <w:r w:rsidRPr="00672890">
        <w:rPr>
          <w:rFonts w:ascii="Times New Roman" w:hAnsi="Times New Roman" w:cs="Times New Roman"/>
          <w:b/>
          <w:bCs/>
          <w:color w:val="000000"/>
          <w:kern w:val="0"/>
          <w:sz w:val="16"/>
          <w:szCs w:val="16"/>
          <w:lang w:val="en-GB"/>
        </w:rPr>
        <w:t>market capitalization, revenue growth, EBITDA, and employee count.</w:t>
      </w:r>
      <w:r w:rsidRPr="00543943">
        <w:rPr>
          <w:rFonts w:ascii="Times New Roman" w:hAnsi="Times New Roman" w:cs="Times New Roman"/>
          <w:color w:val="000000"/>
          <w:kern w:val="0"/>
          <w:sz w:val="16"/>
          <w:szCs w:val="16"/>
          <w:lang w:val="en-GB"/>
        </w:rPr>
        <w:t xml:space="preserve"> </w:t>
      </w:r>
    </w:p>
    <w:p w:rsidR="00543943" w:rsidRDefault="00543943" w:rsidP="00543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543943" w:rsidRPr="00543943" w:rsidRDefault="00543943" w:rsidP="00543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r w:rsidRPr="00543943">
        <w:rPr>
          <w:rFonts w:ascii="Times New Roman" w:hAnsi="Times New Roman" w:cs="Times New Roman"/>
          <w:color w:val="000000"/>
          <w:kern w:val="0"/>
          <w:sz w:val="16"/>
          <w:szCs w:val="16"/>
          <w:lang w:val="en-GB"/>
        </w:rPr>
        <w:t xml:space="preserve">The first visual highlights the </w:t>
      </w:r>
      <w:r w:rsidRPr="00672890">
        <w:rPr>
          <w:rFonts w:ascii="Times New Roman" w:hAnsi="Times New Roman" w:cs="Times New Roman"/>
          <w:b/>
          <w:bCs/>
          <w:color w:val="000000"/>
          <w:kern w:val="0"/>
          <w:sz w:val="16"/>
          <w:szCs w:val="16"/>
          <w:lang w:val="en-GB"/>
        </w:rPr>
        <w:t>Technology sector</w:t>
      </w:r>
      <w:r w:rsidRPr="00543943">
        <w:rPr>
          <w:rFonts w:ascii="Times New Roman" w:hAnsi="Times New Roman" w:cs="Times New Roman"/>
          <w:color w:val="000000"/>
          <w:kern w:val="0"/>
          <w:sz w:val="16"/>
          <w:szCs w:val="16"/>
          <w:lang w:val="en-GB"/>
        </w:rPr>
        <w:t xml:space="preserve"> as the leader in market capitalization, with a total value of </w:t>
      </w:r>
      <w:r w:rsidRPr="00672890">
        <w:rPr>
          <w:rFonts w:ascii="Times New Roman" w:hAnsi="Times New Roman" w:cs="Times New Roman"/>
          <w:b/>
          <w:bCs/>
          <w:color w:val="000000"/>
          <w:kern w:val="0"/>
          <w:sz w:val="16"/>
          <w:szCs w:val="16"/>
          <w:lang w:val="en-GB"/>
        </w:rPr>
        <w:t>$17,287 billion</w:t>
      </w:r>
      <w:r w:rsidRPr="00543943">
        <w:rPr>
          <w:rFonts w:ascii="Times New Roman" w:hAnsi="Times New Roman" w:cs="Times New Roman"/>
          <w:color w:val="000000"/>
          <w:kern w:val="0"/>
          <w:sz w:val="16"/>
          <w:szCs w:val="16"/>
          <w:lang w:val="en-GB"/>
        </w:rPr>
        <w:t xml:space="preserve">, significantly ahead of </w:t>
      </w:r>
      <w:r w:rsidRPr="00672890">
        <w:rPr>
          <w:rFonts w:ascii="Times New Roman" w:hAnsi="Times New Roman" w:cs="Times New Roman"/>
          <w:b/>
          <w:bCs/>
          <w:color w:val="000000"/>
          <w:kern w:val="0"/>
          <w:sz w:val="16"/>
          <w:szCs w:val="16"/>
          <w:lang w:val="en-GB"/>
        </w:rPr>
        <w:t>Communication Services ($7,804 billion)</w:t>
      </w:r>
      <w:r w:rsidRPr="00543943">
        <w:rPr>
          <w:rFonts w:ascii="Times New Roman" w:hAnsi="Times New Roman" w:cs="Times New Roman"/>
          <w:color w:val="000000"/>
          <w:kern w:val="0"/>
          <w:sz w:val="16"/>
          <w:szCs w:val="16"/>
          <w:lang w:val="en-GB"/>
        </w:rPr>
        <w:t xml:space="preserve"> and </w:t>
      </w:r>
      <w:r w:rsidRPr="00672890">
        <w:rPr>
          <w:rFonts w:ascii="Times New Roman" w:hAnsi="Times New Roman" w:cs="Times New Roman"/>
          <w:b/>
          <w:bCs/>
          <w:color w:val="000000"/>
          <w:kern w:val="0"/>
          <w:sz w:val="16"/>
          <w:szCs w:val="16"/>
          <w:lang w:val="en-GB"/>
        </w:rPr>
        <w:t>Financial Services ($7,108 billion)</w:t>
      </w:r>
      <w:r w:rsidRPr="00543943">
        <w:rPr>
          <w:rFonts w:ascii="Times New Roman" w:hAnsi="Times New Roman" w:cs="Times New Roman"/>
          <w:color w:val="000000"/>
          <w:kern w:val="0"/>
          <w:sz w:val="16"/>
          <w:szCs w:val="16"/>
          <w:lang w:val="en-GB"/>
        </w:rPr>
        <w:t xml:space="preserve">. This dominance reflects the pivotal role of technology in shaping modern economies. Similarly, in terms of revenue growth, the </w:t>
      </w:r>
      <w:r w:rsidRPr="00672890">
        <w:rPr>
          <w:rFonts w:ascii="Times New Roman" w:hAnsi="Times New Roman" w:cs="Times New Roman"/>
          <w:b/>
          <w:bCs/>
          <w:color w:val="000000"/>
          <w:kern w:val="0"/>
          <w:sz w:val="16"/>
          <w:szCs w:val="16"/>
          <w:lang w:val="en-GB"/>
        </w:rPr>
        <w:t>Financial Services</w:t>
      </w:r>
      <w:r w:rsidRPr="00543943">
        <w:rPr>
          <w:rFonts w:ascii="Times New Roman" w:hAnsi="Times New Roman" w:cs="Times New Roman"/>
          <w:color w:val="000000"/>
          <w:kern w:val="0"/>
          <w:sz w:val="16"/>
          <w:szCs w:val="16"/>
          <w:lang w:val="en-GB"/>
        </w:rPr>
        <w:t xml:space="preserve"> sector leads with an average growth rate of </w:t>
      </w:r>
      <w:r w:rsidRPr="00672890">
        <w:rPr>
          <w:rFonts w:ascii="Times New Roman" w:hAnsi="Times New Roman" w:cs="Times New Roman"/>
          <w:b/>
          <w:bCs/>
          <w:color w:val="000000"/>
          <w:kern w:val="0"/>
          <w:sz w:val="16"/>
          <w:szCs w:val="16"/>
          <w:lang w:val="en-GB"/>
        </w:rPr>
        <w:t>12.30%</w:t>
      </w:r>
      <w:r w:rsidRPr="00543943">
        <w:rPr>
          <w:rFonts w:ascii="Times New Roman" w:hAnsi="Times New Roman" w:cs="Times New Roman"/>
          <w:color w:val="000000"/>
          <w:kern w:val="0"/>
          <w:sz w:val="16"/>
          <w:szCs w:val="16"/>
          <w:lang w:val="en-GB"/>
        </w:rPr>
        <w:t xml:space="preserve">, closely followed by </w:t>
      </w:r>
      <w:r w:rsidRPr="00672890">
        <w:rPr>
          <w:rFonts w:ascii="Times New Roman" w:hAnsi="Times New Roman" w:cs="Times New Roman"/>
          <w:b/>
          <w:bCs/>
          <w:color w:val="000000"/>
          <w:kern w:val="0"/>
          <w:sz w:val="16"/>
          <w:szCs w:val="16"/>
          <w:lang w:val="en-GB"/>
        </w:rPr>
        <w:t>Technology</w:t>
      </w:r>
      <w:r w:rsidRPr="00543943">
        <w:rPr>
          <w:rFonts w:ascii="Times New Roman" w:hAnsi="Times New Roman" w:cs="Times New Roman"/>
          <w:color w:val="000000"/>
          <w:kern w:val="0"/>
          <w:sz w:val="16"/>
          <w:szCs w:val="16"/>
          <w:lang w:val="en-GB"/>
        </w:rPr>
        <w:t xml:space="preserve"> at </w:t>
      </w:r>
      <w:r w:rsidRPr="00672890">
        <w:rPr>
          <w:rFonts w:ascii="Times New Roman" w:hAnsi="Times New Roman" w:cs="Times New Roman"/>
          <w:b/>
          <w:bCs/>
          <w:color w:val="000000"/>
          <w:kern w:val="0"/>
          <w:sz w:val="16"/>
          <w:szCs w:val="16"/>
          <w:lang w:val="en-GB"/>
        </w:rPr>
        <w:t>11.58%</w:t>
      </w:r>
      <w:r w:rsidRPr="00543943">
        <w:rPr>
          <w:rFonts w:ascii="Times New Roman" w:hAnsi="Times New Roman" w:cs="Times New Roman"/>
          <w:color w:val="000000"/>
          <w:kern w:val="0"/>
          <w:sz w:val="16"/>
          <w:szCs w:val="16"/>
          <w:lang w:val="en-GB"/>
        </w:rPr>
        <w:t xml:space="preserve">, emphasizing their strong adaptability and strategic growth in a competitive landscape. Other notable sectors like </w:t>
      </w:r>
      <w:r w:rsidRPr="00672890">
        <w:rPr>
          <w:rFonts w:ascii="Times New Roman" w:hAnsi="Times New Roman" w:cs="Times New Roman"/>
          <w:b/>
          <w:bCs/>
          <w:color w:val="000000"/>
          <w:kern w:val="0"/>
          <w:sz w:val="16"/>
          <w:szCs w:val="16"/>
          <w:lang w:val="en-GB"/>
        </w:rPr>
        <w:t>Real</w:t>
      </w:r>
      <w:r w:rsidRPr="00543943">
        <w:rPr>
          <w:rFonts w:ascii="Times New Roman" w:hAnsi="Times New Roman" w:cs="Times New Roman"/>
          <w:color w:val="000000"/>
          <w:kern w:val="0"/>
          <w:sz w:val="16"/>
          <w:szCs w:val="16"/>
          <w:lang w:val="en-GB"/>
        </w:rPr>
        <w:t xml:space="preserve"> </w:t>
      </w:r>
      <w:r w:rsidRPr="00672890">
        <w:rPr>
          <w:rFonts w:ascii="Times New Roman" w:hAnsi="Times New Roman" w:cs="Times New Roman"/>
          <w:b/>
          <w:bCs/>
          <w:color w:val="000000"/>
          <w:kern w:val="0"/>
          <w:sz w:val="16"/>
          <w:szCs w:val="16"/>
          <w:lang w:val="en-GB"/>
        </w:rPr>
        <w:t>Estate</w:t>
      </w:r>
      <w:r w:rsidRPr="00543943">
        <w:rPr>
          <w:rFonts w:ascii="Times New Roman" w:hAnsi="Times New Roman" w:cs="Times New Roman"/>
          <w:color w:val="000000"/>
          <w:kern w:val="0"/>
          <w:sz w:val="16"/>
          <w:szCs w:val="16"/>
          <w:lang w:val="en-GB"/>
        </w:rPr>
        <w:t xml:space="preserve"> and </w:t>
      </w:r>
      <w:r w:rsidRPr="00672890">
        <w:rPr>
          <w:rFonts w:ascii="Times New Roman" w:hAnsi="Times New Roman" w:cs="Times New Roman"/>
          <w:b/>
          <w:bCs/>
          <w:color w:val="000000"/>
          <w:kern w:val="0"/>
          <w:sz w:val="16"/>
          <w:szCs w:val="16"/>
          <w:lang w:val="en-GB"/>
        </w:rPr>
        <w:t>Healthcare</w:t>
      </w:r>
      <w:r w:rsidRPr="00543943">
        <w:rPr>
          <w:rFonts w:ascii="Times New Roman" w:hAnsi="Times New Roman" w:cs="Times New Roman"/>
          <w:color w:val="000000"/>
          <w:kern w:val="0"/>
          <w:sz w:val="16"/>
          <w:szCs w:val="16"/>
          <w:lang w:val="en-GB"/>
        </w:rPr>
        <w:t xml:space="preserve"> exhibit moderate but stable growth, reflecting their consistent market performance.</w:t>
      </w:r>
    </w:p>
    <w:p w:rsidR="00543943" w:rsidRPr="00543943" w:rsidRDefault="00543943" w:rsidP="00543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543943" w:rsidRPr="00543943" w:rsidRDefault="00543943" w:rsidP="00543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B5AB2"/>
          <w:kern w:val="0"/>
          <w:sz w:val="20"/>
          <w:szCs w:val="20"/>
        </w:rPr>
      </w:pPr>
      <w:r w:rsidRPr="00543943">
        <w:rPr>
          <w:rFonts w:ascii="Times New Roman" w:hAnsi="Times New Roman" w:cs="Times New Roman"/>
          <w:color w:val="000000"/>
          <w:kern w:val="0"/>
          <w:sz w:val="16"/>
          <w:szCs w:val="16"/>
          <w:lang w:val="en-GB"/>
        </w:rPr>
        <w:t xml:space="preserve">The subsequent visuals further analyse the operational metrics. The </w:t>
      </w:r>
      <w:r w:rsidRPr="00672890">
        <w:rPr>
          <w:rFonts w:ascii="Times New Roman" w:hAnsi="Times New Roman" w:cs="Times New Roman"/>
          <w:b/>
          <w:bCs/>
          <w:color w:val="000000"/>
          <w:kern w:val="0"/>
          <w:sz w:val="16"/>
          <w:szCs w:val="16"/>
          <w:lang w:val="en-GB"/>
        </w:rPr>
        <w:t>Technology</w:t>
      </w:r>
      <w:r w:rsidRPr="00543943">
        <w:rPr>
          <w:rFonts w:ascii="Times New Roman" w:hAnsi="Times New Roman" w:cs="Times New Roman"/>
          <w:color w:val="000000"/>
          <w:kern w:val="0"/>
          <w:sz w:val="16"/>
          <w:szCs w:val="16"/>
          <w:lang w:val="en-GB"/>
        </w:rPr>
        <w:t xml:space="preserve"> </w:t>
      </w:r>
      <w:r w:rsidRPr="00672890">
        <w:rPr>
          <w:rFonts w:ascii="Times New Roman" w:hAnsi="Times New Roman" w:cs="Times New Roman"/>
          <w:b/>
          <w:bCs/>
          <w:color w:val="000000"/>
          <w:kern w:val="0"/>
          <w:sz w:val="16"/>
          <w:szCs w:val="16"/>
          <w:lang w:val="en-GB"/>
        </w:rPr>
        <w:t>sector</w:t>
      </w:r>
      <w:r w:rsidRPr="00543943">
        <w:rPr>
          <w:rFonts w:ascii="Times New Roman" w:hAnsi="Times New Roman" w:cs="Times New Roman"/>
          <w:color w:val="000000"/>
          <w:kern w:val="0"/>
          <w:sz w:val="16"/>
          <w:szCs w:val="16"/>
          <w:lang w:val="en-GB"/>
        </w:rPr>
        <w:t xml:space="preserve"> also dominates in </w:t>
      </w:r>
      <w:r w:rsidRPr="00672890">
        <w:rPr>
          <w:rFonts w:ascii="Times New Roman" w:hAnsi="Times New Roman" w:cs="Times New Roman"/>
          <w:b/>
          <w:bCs/>
          <w:color w:val="000000"/>
          <w:kern w:val="0"/>
          <w:sz w:val="16"/>
          <w:szCs w:val="16"/>
          <w:lang w:val="en-GB"/>
        </w:rPr>
        <w:t>EBITDA</w:t>
      </w:r>
      <w:r w:rsidRPr="00543943">
        <w:rPr>
          <w:rFonts w:ascii="Times New Roman" w:hAnsi="Times New Roman" w:cs="Times New Roman"/>
          <w:color w:val="000000"/>
          <w:kern w:val="0"/>
          <w:sz w:val="16"/>
          <w:szCs w:val="16"/>
          <w:lang w:val="en-GB"/>
        </w:rPr>
        <w:t xml:space="preserve">, with total earnings of </w:t>
      </w:r>
      <w:r w:rsidRPr="00672890">
        <w:rPr>
          <w:rFonts w:ascii="Times New Roman" w:hAnsi="Times New Roman" w:cs="Times New Roman"/>
          <w:b/>
          <w:bCs/>
          <w:color w:val="000000"/>
          <w:kern w:val="0"/>
          <w:sz w:val="16"/>
          <w:szCs w:val="16"/>
          <w:lang w:val="en-GB"/>
        </w:rPr>
        <w:t>$627 billion</w:t>
      </w:r>
      <w:r w:rsidRPr="00543943">
        <w:rPr>
          <w:rFonts w:ascii="Times New Roman" w:hAnsi="Times New Roman" w:cs="Times New Roman"/>
          <w:color w:val="000000"/>
          <w:kern w:val="0"/>
          <w:sz w:val="16"/>
          <w:szCs w:val="16"/>
          <w:lang w:val="en-GB"/>
        </w:rPr>
        <w:t xml:space="preserve">, showcasing its profitability and operational efficiency, followed by </w:t>
      </w:r>
      <w:r w:rsidRPr="00672890">
        <w:rPr>
          <w:rFonts w:ascii="Times New Roman" w:hAnsi="Times New Roman" w:cs="Times New Roman"/>
          <w:b/>
          <w:bCs/>
          <w:color w:val="000000"/>
          <w:kern w:val="0"/>
          <w:sz w:val="16"/>
          <w:szCs w:val="16"/>
          <w:lang w:val="en-GB"/>
        </w:rPr>
        <w:t>Communication</w:t>
      </w:r>
      <w:r w:rsidRPr="00543943">
        <w:rPr>
          <w:rFonts w:ascii="Times New Roman" w:hAnsi="Times New Roman" w:cs="Times New Roman"/>
          <w:color w:val="000000"/>
          <w:kern w:val="0"/>
          <w:sz w:val="16"/>
          <w:szCs w:val="16"/>
          <w:lang w:val="en-GB"/>
        </w:rPr>
        <w:t xml:space="preserve"> </w:t>
      </w:r>
      <w:r w:rsidRPr="00672890">
        <w:rPr>
          <w:rFonts w:ascii="Times New Roman" w:hAnsi="Times New Roman" w:cs="Times New Roman"/>
          <w:b/>
          <w:bCs/>
          <w:color w:val="000000"/>
          <w:kern w:val="0"/>
          <w:sz w:val="16"/>
          <w:szCs w:val="16"/>
          <w:lang w:val="en-GB"/>
        </w:rPr>
        <w:t>Services</w:t>
      </w:r>
      <w:r w:rsidRPr="00543943">
        <w:rPr>
          <w:rFonts w:ascii="Times New Roman" w:hAnsi="Times New Roman" w:cs="Times New Roman"/>
          <w:color w:val="000000"/>
          <w:kern w:val="0"/>
          <w:sz w:val="16"/>
          <w:szCs w:val="16"/>
          <w:lang w:val="en-GB"/>
        </w:rPr>
        <w:t xml:space="preserve"> </w:t>
      </w:r>
      <w:r w:rsidRPr="00672890">
        <w:rPr>
          <w:rFonts w:ascii="Times New Roman" w:hAnsi="Times New Roman" w:cs="Times New Roman"/>
          <w:b/>
          <w:bCs/>
          <w:color w:val="000000"/>
          <w:kern w:val="0"/>
          <w:sz w:val="16"/>
          <w:szCs w:val="16"/>
          <w:lang w:val="en-GB"/>
        </w:rPr>
        <w:t>($561 billion)</w:t>
      </w:r>
      <w:r w:rsidRPr="00543943">
        <w:rPr>
          <w:rFonts w:ascii="Times New Roman" w:hAnsi="Times New Roman" w:cs="Times New Roman"/>
          <w:color w:val="000000"/>
          <w:kern w:val="0"/>
          <w:sz w:val="16"/>
          <w:szCs w:val="16"/>
          <w:lang w:val="en-GB"/>
        </w:rPr>
        <w:t xml:space="preserve"> and </w:t>
      </w:r>
      <w:r w:rsidRPr="00672890">
        <w:rPr>
          <w:rFonts w:ascii="Times New Roman" w:hAnsi="Times New Roman" w:cs="Times New Roman"/>
          <w:b/>
          <w:bCs/>
          <w:color w:val="000000"/>
          <w:kern w:val="0"/>
          <w:sz w:val="16"/>
          <w:szCs w:val="16"/>
          <w:lang w:val="en-GB"/>
        </w:rPr>
        <w:t>Healthcare ($382 billion)</w:t>
      </w:r>
      <w:r w:rsidRPr="00543943">
        <w:rPr>
          <w:rFonts w:ascii="Times New Roman" w:hAnsi="Times New Roman" w:cs="Times New Roman"/>
          <w:color w:val="000000"/>
          <w:kern w:val="0"/>
          <w:sz w:val="16"/>
          <w:szCs w:val="16"/>
          <w:lang w:val="en-GB"/>
        </w:rPr>
        <w:t xml:space="preserve">. From an employment perspective, the </w:t>
      </w:r>
      <w:r w:rsidRPr="00672890">
        <w:rPr>
          <w:rFonts w:ascii="Times New Roman" w:hAnsi="Times New Roman" w:cs="Times New Roman"/>
          <w:b/>
          <w:bCs/>
          <w:color w:val="000000"/>
          <w:kern w:val="0"/>
          <w:sz w:val="16"/>
          <w:szCs w:val="16"/>
          <w:lang w:val="en-GB"/>
        </w:rPr>
        <w:t>Consumer</w:t>
      </w:r>
      <w:r w:rsidRPr="00543943">
        <w:rPr>
          <w:rFonts w:ascii="Times New Roman" w:hAnsi="Times New Roman" w:cs="Times New Roman"/>
          <w:color w:val="000000"/>
          <w:kern w:val="0"/>
          <w:sz w:val="16"/>
          <w:szCs w:val="16"/>
          <w:lang w:val="en-GB"/>
        </w:rPr>
        <w:t xml:space="preserve"> </w:t>
      </w:r>
      <w:r w:rsidRPr="00672890">
        <w:rPr>
          <w:rFonts w:ascii="Times New Roman" w:hAnsi="Times New Roman" w:cs="Times New Roman"/>
          <w:b/>
          <w:bCs/>
          <w:color w:val="000000"/>
          <w:kern w:val="0"/>
          <w:sz w:val="16"/>
          <w:szCs w:val="16"/>
          <w:lang w:val="en-GB"/>
        </w:rPr>
        <w:t>Cyclical</w:t>
      </w:r>
      <w:r w:rsidRPr="00543943">
        <w:rPr>
          <w:rFonts w:ascii="Times New Roman" w:hAnsi="Times New Roman" w:cs="Times New Roman"/>
          <w:color w:val="000000"/>
          <w:kern w:val="0"/>
          <w:sz w:val="16"/>
          <w:szCs w:val="16"/>
          <w:lang w:val="en-GB"/>
        </w:rPr>
        <w:t xml:space="preserve"> sector stands out as the largest employer, with </w:t>
      </w:r>
      <w:r w:rsidRPr="00672890">
        <w:rPr>
          <w:rFonts w:ascii="Times New Roman" w:hAnsi="Times New Roman" w:cs="Times New Roman"/>
          <w:b/>
          <w:bCs/>
          <w:color w:val="000000"/>
          <w:kern w:val="0"/>
          <w:sz w:val="16"/>
          <w:szCs w:val="16"/>
          <w:lang w:val="en-GB"/>
        </w:rPr>
        <w:t>5.93 million full-time employees</w:t>
      </w:r>
      <w:r w:rsidRPr="00543943">
        <w:rPr>
          <w:rFonts w:ascii="Times New Roman" w:hAnsi="Times New Roman" w:cs="Times New Roman"/>
          <w:color w:val="000000"/>
          <w:kern w:val="0"/>
          <w:sz w:val="16"/>
          <w:szCs w:val="16"/>
          <w:lang w:val="en-GB"/>
        </w:rPr>
        <w:t xml:space="preserve">, driven by labour-intensive industries like retail and services. The </w:t>
      </w:r>
      <w:r w:rsidRPr="00672890">
        <w:rPr>
          <w:rFonts w:ascii="Times New Roman" w:hAnsi="Times New Roman" w:cs="Times New Roman"/>
          <w:b/>
          <w:bCs/>
          <w:color w:val="000000"/>
          <w:kern w:val="0"/>
          <w:sz w:val="16"/>
          <w:szCs w:val="16"/>
          <w:lang w:val="en-GB"/>
        </w:rPr>
        <w:t>Technology</w:t>
      </w:r>
      <w:r w:rsidRPr="00543943">
        <w:rPr>
          <w:rFonts w:ascii="Times New Roman" w:hAnsi="Times New Roman" w:cs="Times New Roman"/>
          <w:color w:val="000000"/>
          <w:kern w:val="0"/>
          <w:sz w:val="16"/>
          <w:szCs w:val="16"/>
          <w:lang w:val="en-GB"/>
        </w:rPr>
        <w:t xml:space="preserve"> </w:t>
      </w:r>
      <w:r w:rsidRPr="00672890">
        <w:rPr>
          <w:rFonts w:ascii="Times New Roman" w:hAnsi="Times New Roman" w:cs="Times New Roman"/>
          <w:b/>
          <w:bCs/>
          <w:color w:val="000000"/>
          <w:kern w:val="0"/>
          <w:sz w:val="16"/>
          <w:szCs w:val="16"/>
          <w:lang w:val="en-GB"/>
        </w:rPr>
        <w:t>sector</w:t>
      </w:r>
      <w:r w:rsidRPr="00543943">
        <w:rPr>
          <w:rFonts w:ascii="Times New Roman" w:hAnsi="Times New Roman" w:cs="Times New Roman"/>
          <w:color w:val="000000"/>
          <w:kern w:val="0"/>
          <w:sz w:val="16"/>
          <w:szCs w:val="16"/>
          <w:lang w:val="en-GB"/>
        </w:rPr>
        <w:t xml:space="preserve">, with </w:t>
      </w:r>
      <w:r w:rsidRPr="00672890">
        <w:rPr>
          <w:rFonts w:ascii="Times New Roman" w:hAnsi="Times New Roman" w:cs="Times New Roman"/>
          <w:b/>
          <w:bCs/>
          <w:color w:val="000000"/>
          <w:kern w:val="0"/>
          <w:sz w:val="16"/>
          <w:szCs w:val="16"/>
          <w:lang w:val="en-GB"/>
        </w:rPr>
        <w:t>4.11 million employees</w:t>
      </w:r>
      <w:r w:rsidRPr="00543943">
        <w:rPr>
          <w:rFonts w:ascii="Times New Roman" w:hAnsi="Times New Roman" w:cs="Times New Roman"/>
          <w:color w:val="000000"/>
          <w:kern w:val="0"/>
          <w:sz w:val="16"/>
          <w:szCs w:val="16"/>
          <w:lang w:val="en-GB"/>
        </w:rPr>
        <w:t>, highlights its substantial workforce requirements to sustain innovation and global reach. These insights provide a comprehensive view of the top sectors’ financial strength and operational scale, aligning with the project’s goal of identifying key industry trends and economic drivers.</w:t>
      </w: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Default="00FC0943" w:rsidP="00FC0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EF4D0E" w:rsidRDefault="00EF4D0E" w:rsidP="00EF4D0E">
      <w:pPr>
        <w:jc w:val="both"/>
        <w:rPr>
          <w:rFonts w:ascii="Times New Roman" w:hAnsi="Times New Roman" w:cs="Times New Roman"/>
          <w:b/>
          <w:bCs/>
          <w:color w:val="0B5AB2"/>
          <w:kern w:val="0"/>
          <w:sz w:val="20"/>
          <w:szCs w:val="20"/>
          <w:lang w:val="en-GB"/>
        </w:rPr>
      </w:pPr>
      <w:r>
        <w:rPr>
          <w:rFonts w:ascii="Times New Roman" w:hAnsi="Times New Roman" w:cs="Times New Roman"/>
          <w:b/>
          <w:bCs/>
          <w:color w:val="0B5AB2"/>
          <w:kern w:val="0"/>
          <w:sz w:val="20"/>
          <w:szCs w:val="20"/>
          <w:lang w:val="en-GB"/>
        </w:rPr>
        <w:t xml:space="preserve">3.2 </w:t>
      </w:r>
      <w:r w:rsidRPr="00EF4D0E">
        <w:rPr>
          <w:rFonts w:ascii="Times New Roman" w:hAnsi="Times New Roman" w:cs="Times New Roman"/>
          <w:b/>
          <w:bCs/>
          <w:color w:val="0B5AB2"/>
          <w:kern w:val="0"/>
          <w:sz w:val="20"/>
          <w:szCs w:val="20"/>
          <w:lang w:val="en-GB"/>
        </w:rPr>
        <w:t xml:space="preserve">S&amp;P 500 </w:t>
      </w:r>
      <w:r w:rsidR="008567FD">
        <w:rPr>
          <w:rFonts w:ascii="Times New Roman" w:hAnsi="Times New Roman" w:cs="Times New Roman"/>
          <w:b/>
          <w:bCs/>
          <w:color w:val="0B5AB2"/>
          <w:kern w:val="0"/>
          <w:sz w:val="20"/>
          <w:szCs w:val="20"/>
          <w:lang w:val="en-GB"/>
        </w:rPr>
        <w:t xml:space="preserve">Index </w:t>
      </w:r>
      <w:r w:rsidRPr="00EF4D0E">
        <w:rPr>
          <w:rFonts w:ascii="Times New Roman" w:hAnsi="Times New Roman" w:cs="Times New Roman"/>
          <w:b/>
          <w:bCs/>
          <w:color w:val="0B5AB2"/>
          <w:kern w:val="0"/>
          <w:sz w:val="20"/>
          <w:szCs w:val="20"/>
          <w:lang w:val="en-GB"/>
        </w:rPr>
        <w:t xml:space="preserve">Historical </w:t>
      </w:r>
      <w:r w:rsidR="008567FD">
        <w:rPr>
          <w:rFonts w:ascii="Times New Roman" w:hAnsi="Times New Roman" w:cs="Times New Roman"/>
          <w:b/>
          <w:bCs/>
          <w:color w:val="0B5AB2"/>
          <w:kern w:val="0"/>
          <w:sz w:val="20"/>
          <w:szCs w:val="20"/>
          <w:lang w:val="en-GB"/>
        </w:rPr>
        <w:t xml:space="preserve">Performance and </w:t>
      </w:r>
      <w:r w:rsidR="008567FD" w:rsidRPr="008567FD">
        <w:rPr>
          <w:rFonts w:ascii="Times New Roman" w:hAnsi="Times New Roman" w:cs="Times New Roman"/>
          <w:b/>
          <w:bCs/>
          <w:color w:val="0B5AB2"/>
          <w:kern w:val="0"/>
          <w:sz w:val="20"/>
          <w:szCs w:val="20"/>
          <w:lang w:val="en-GB"/>
        </w:rPr>
        <w:t>Market Dynamics</w:t>
      </w:r>
      <w:r w:rsidRPr="00EF4D0E">
        <w:rPr>
          <w:rFonts w:ascii="Times New Roman" w:hAnsi="Times New Roman" w:cs="Times New Roman"/>
          <w:b/>
          <w:bCs/>
          <w:color w:val="0B5AB2"/>
          <w:kern w:val="0"/>
          <w:sz w:val="20"/>
          <w:szCs w:val="20"/>
          <w:lang w:val="en-GB"/>
        </w:rPr>
        <w:t>: Trends, Distributions, and Correlations</w:t>
      </w:r>
    </w:p>
    <w:p w:rsidR="00EF4D0E" w:rsidRDefault="00EF4D0E" w:rsidP="00EF4D0E">
      <w:pPr>
        <w:jc w:val="both"/>
        <w:rPr>
          <w:rFonts w:ascii="Times New Roman" w:hAnsi="Times New Roman" w:cs="Times New Roman"/>
          <w:b/>
          <w:bCs/>
          <w:color w:val="0B5AB2"/>
          <w:kern w:val="0"/>
          <w:sz w:val="20"/>
          <w:szCs w:val="20"/>
          <w:lang w:val="en-GB"/>
        </w:rPr>
      </w:pPr>
    </w:p>
    <w:p w:rsidR="00EF4D0E" w:rsidRDefault="00EF4D0E" w:rsidP="00EF4D0E">
      <w:pPr>
        <w:jc w:val="both"/>
        <w:rPr>
          <w:noProof/>
        </w:rPr>
      </w:pPr>
      <w:r w:rsidRPr="00EF4D0E">
        <w:rPr>
          <w:rFonts w:ascii="Times New Roman" w:hAnsi="Times New Roman" w:cs="Times New Roman"/>
          <w:b/>
          <w:bCs/>
          <w:noProof/>
          <w:color w:val="0B5AB2"/>
          <w:kern w:val="0"/>
          <w:sz w:val="20"/>
          <w:szCs w:val="20"/>
        </w:rPr>
        <w:drawing>
          <wp:inline distT="0" distB="0" distL="0" distR="0" wp14:anchorId="4589E7CE" wp14:editId="38525F38">
            <wp:extent cx="2729492" cy="1736949"/>
            <wp:effectExtent l="0" t="0" r="1270" b="3175"/>
            <wp:docPr id="190396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69017" name=""/>
                    <pic:cNvPicPr/>
                  </pic:nvPicPr>
                  <pic:blipFill>
                    <a:blip r:embed="rId14"/>
                    <a:stretch>
                      <a:fillRect/>
                    </a:stretch>
                  </pic:blipFill>
                  <pic:spPr>
                    <a:xfrm>
                      <a:off x="0" y="0"/>
                      <a:ext cx="2794149" cy="1778094"/>
                    </a:xfrm>
                    <a:prstGeom prst="rect">
                      <a:avLst/>
                    </a:prstGeom>
                  </pic:spPr>
                </pic:pic>
              </a:graphicData>
            </a:graphic>
          </wp:inline>
        </w:drawing>
      </w:r>
      <w:r w:rsidRPr="00EF4D0E">
        <w:rPr>
          <w:noProof/>
        </w:rPr>
        <w:t xml:space="preserve"> </w:t>
      </w:r>
      <w:r w:rsidRPr="00EF4D0E">
        <w:rPr>
          <w:rFonts w:ascii="Times New Roman" w:hAnsi="Times New Roman" w:cs="Times New Roman"/>
          <w:b/>
          <w:bCs/>
          <w:noProof/>
          <w:color w:val="0B5AB2"/>
          <w:kern w:val="0"/>
          <w:sz w:val="20"/>
          <w:szCs w:val="20"/>
        </w:rPr>
        <w:drawing>
          <wp:inline distT="0" distB="0" distL="0" distR="0" wp14:anchorId="65413EBD" wp14:editId="08062BD7">
            <wp:extent cx="2700170" cy="1742664"/>
            <wp:effectExtent l="0" t="0" r="5080" b="0"/>
            <wp:docPr id="16077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6236" name=""/>
                    <pic:cNvPicPr/>
                  </pic:nvPicPr>
                  <pic:blipFill>
                    <a:blip r:embed="rId15"/>
                    <a:stretch>
                      <a:fillRect/>
                    </a:stretch>
                  </pic:blipFill>
                  <pic:spPr>
                    <a:xfrm>
                      <a:off x="0" y="0"/>
                      <a:ext cx="2779631" cy="1793948"/>
                    </a:xfrm>
                    <a:prstGeom prst="rect">
                      <a:avLst/>
                    </a:prstGeom>
                  </pic:spPr>
                </pic:pic>
              </a:graphicData>
            </a:graphic>
          </wp:inline>
        </w:drawing>
      </w:r>
    </w:p>
    <w:p w:rsidR="00EF4D0E" w:rsidRDefault="00EF4D0E" w:rsidP="00EF4D0E">
      <w:pPr>
        <w:jc w:val="both"/>
        <w:rPr>
          <w:noProof/>
        </w:rPr>
      </w:pPr>
      <w:r w:rsidRPr="00EF4D0E">
        <w:rPr>
          <w:rFonts w:ascii="Times New Roman" w:hAnsi="Times New Roman" w:cs="Times New Roman"/>
          <w:b/>
          <w:bCs/>
          <w:noProof/>
          <w:color w:val="0B5AB2"/>
          <w:kern w:val="0"/>
          <w:sz w:val="20"/>
          <w:szCs w:val="20"/>
        </w:rPr>
        <w:drawing>
          <wp:inline distT="0" distB="0" distL="0" distR="0" wp14:anchorId="6A76EE26" wp14:editId="2B8646FD">
            <wp:extent cx="2729230" cy="1736784"/>
            <wp:effectExtent l="0" t="0" r="1270" b="3175"/>
            <wp:docPr id="58421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13344" name=""/>
                    <pic:cNvPicPr/>
                  </pic:nvPicPr>
                  <pic:blipFill>
                    <a:blip r:embed="rId16"/>
                    <a:stretch>
                      <a:fillRect/>
                    </a:stretch>
                  </pic:blipFill>
                  <pic:spPr>
                    <a:xfrm>
                      <a:off x="0" y="0"/>
                      <a:ext cx="2777360" cy="1767412"/>
                    </a:xfrm>
                    <a:prstGeom prst="rect">
                      <a:avLst/>
                    </a:prstGeom>
                  </pic:spPr>
                </pic:pic>
              </a:graphicData>
            </a:graphic>
          </wp:inline>
        </w:drawing>
      </w:r>
      <w:r w:rsidRPr="00EF4D0E">
        <w:rPr>
          <w:noProof/>
        </w:rPr>
        <w:t xml:space="preserve"> </w:t>
      </w:r>
      <w:r w:rsidRPr="00EF4D0E">
        <w:rPr>
          <w:rFonts w:ascii="Times New Roman" w:hAnsi="Times New Roman" w:cs="Times New Roman"/>
          <w:b/>
          <w:bCs/>
          <w:noProof/>
          <w:color w:val="0B5AB2"/>
          <w:kern w:val="0"/>
          <w:sz w:val="20"/>
          <w:szCs w:val="20"/>
        </w:rPr>
        <w:drawing>
          <wp:inline distT="0" distB="0" distL="0" distR="0" wp14:anchorId="16AC3AD7" wp14:editId="636160C2">
            <wp:extent cx="2711695" cy="1741865"/>
            <wp:effectExtent l="0" t="0" r="6350" b="0"/>
            <wp:docPr id="91868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86724" name=""/>
                    <pic:cNvPicPr/>
                  </pic:nvPicPr>
                  <pic:blipFill>
                    <a:blip r:embed="rId17"/>
                    <a:stretch>
                      <a:fillRect/>
                    </a:stretch>
                  </pic:blipFill>
                  <pic:spPr>
                    <a:xfrm>
                      <a:off x="0" y="0"/>
                      <a:ext cx="2800185" cy="1798707"/>
                    </a:xfrm>
                    <a:prstGeom prst="rect">
                      <a:avLst/>
                    </a:prstGeom>
                  </pic:spPr>
                </pic:pic>
              </a:graphicData>
            </a:graphic>
          </wp:inline>
        </w:drawing>
      </w:r>
    </w:p>
    <w:p w:rsidR="00EF4D0E" w:rsidRDefault="00EF4D0E" w:rsidP="00EF4D0E">
      <w:pPr>
        <w:jc w:val="both"/>
        <w:rPr>
          <w:noProof/>
        </w:rPr>
      </w:pPr>
      <w:r w:rsidRPr="00EF4D0E">
        <w:rPr>
          <w:rFonts w:ascii="Times New Roman" w:hAnsi="Times New Roman" w:cs="Times New Roman"/>
          <w:b/>
          <w:bCs/>
          <w:noProof/>
          <w:color w:val="0B5AB2"/>
          <w:kern w:val="0"/>
          <w:sz w:val="20"/>
          <w:szCs w:val="20"/>
        </w:rPr>
        <w:drawing>
          <wp:inline distT="0" distB="0" distL="0" distR="0" wp14:anchorId="6D602EA3" wp14:editId="37DF6E54">
            <wp:extent cx="2764715" cy="1759365"/>
            <wp:effectExtent l="0" t="0" r="4445" b="6350"/>
            <wp:docPr id="69365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55714" name=""/>
                    <pic:cNvPicPr/>
                  </pic:nvPicPr>
                  <pic:blipFill>
                    <a:blip r:embed="rId18"/>
                    <a:stretch>
                      <a:fillRect/>
                    </a:stretch>
                  </pic:blipFill>
                  <pic:spPr>
                    <a:xfrm>
                      <a:off x="0" y="0"/>
                      <a:ext cx="2825317" cy="1797930"/>
                    </a:xfrm>
                    <a:prstGeom prst="rect">
                      <a:avLst/>
                    </a:prstGeom>
                  </pic:spPr>
                </pic:pic>
              </a:graphicData>
            </a:graphic>
          </wp:inline>
        </w:drawing>
      </w:r>
      <w:r w:rsidRPr="00EF4D0E">
        <w:rPr>
          <w:noProof/>
        </w:rPr>
        <w:t xml:space="preserve"> </w:t>
      </w:r>
      <w:r w:rsidRPr="00EF4D0E">
        <w:rPr>
          <w:rFonts w:ascii="Times New Roman" w:hAnsi="Times New Roman" w:cs="Times New Roman"/>
          <w:b/>
          <w:bCs/>
          <w:noProof/>
          <w:color w:val="0B5AB2"/>
          <w:kern w:val="0"/>
          <w:sz w:val="20"/>
          <w:szCs w:val="20"/>
        </w:rPr>
        <w:drawing>
          <wp:inline distT="0" distB="0" distL="0" distR="0" wp14:anchorId="0CC018DD" wp14:editId="06BE543A">
            <wp:extent cx="2683063" cy="1707403"/>
            <wp:effectExtent l="0" t="0" r="0" b="0"/>
            <wp:docPr id="26697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73631" name=""/>
                    <pic:cNvPicPr/>
                  </pic:nvPicPr>
                  <pic:blipFill>
                    <a:blip r:embed="rId19"/>
                    <a:stretch>
                      <a:fillRect/>
                    </a:stretch>
                  </pic:blipFill>
                  <pic:spPr>
                    <a:xfrm>
                      <a:off x="0" y="0"/>
                      <a:ext cx="2782543" cy="1770708"/>
                    </a:xfrm>
                    <a:prstGeom prst="rect">
                      <a:avLst/>
                    </a:prstGeom>
                  </pic:spPr>
                </pic:pic>
              </a:graphicData>
            </a:graphic>
          </wp:inline>
        </w:drawing>
      </w:r>
    </w:p>
    <w:p w:rsidR="00815BD4" w:rsidRPr="00815BD4" w:rsidRDefault="00815BD4" w:rsidP="00815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815BD4" w:rsidRPr="00815BD4" w:rsidRDefault="00815BD4" w:rsidP="00815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r w:rsidRPr="00815BD4">
        <w:rPr>
          <w:rFonts w:ascii="Times New Roman" w:hAnsi="Times New Roman" w:cs="Times New Roman"/>
          <w:color w:val="000000"/>
          <w:kern w:val="0"/>
          <w:sz w:val="16"/>
          <w:szCs w:val="16"/>
          <w:lang w:val="en-GB"/>
        </w:rPr>
        <w:t xml:space="preserve">The analysis of the S&amp;P 500 from </w:t>
      </w:r>
      <w:r w:rsidRPr="00EA01CD">
        <w:rPr>
          <w:rFonts w:ascii="Times New Roman" w:hAnsi="Times New Roman" w:cs="Times New Roman"/>
          <w:b/>
          <w:bCs/>
          <w:color w:val="000000"/>
          <w:kern w:val="0"/>
          <w:sz w:val="16"/>
          <w:szCs w:val="16"/>
          <w:lang w:val="en-GB"/>
        </w:rPr>
        <w:t>1950-01-03 to 2024-12-20</w:t>
      </w:r>
      <w:r w:rsidRPr="00815BD4">
        <w:rPr>
          <w:rFonts w:ascii="Times New Roman" w:hAnsi="Times New Roman" w:cs="Times New Roman"/>
          <w:color w:val="000000"/>
          <w:kern w:val="0"/>
          <w:sz w:val="16"/>
          <w:szCs w:val="16"/>
          <w:lang w:val="en-GB"/>
        </w:rPr>
        <w:t xml:space="preserve"> reveals a remarkable upward trajectory in closing prices, growing from </w:t>
      </w:r>
      <w:r w:rsidRPr="00EA01CD">
        <w:rPr>
          <w:rFonts w:ascii="Times New Roman" w:hAnsi="Times New Roman" w:cs="Times New Roman"/>
          <w:b/>
          <w:bCs/>
          <w:color w:val="000000"/>
          <w:kern w:val="0"/>
          <w:sz w:val="16"/>
          <w:szCs w:val="16"/>
          <w:lang w:val="en-GB"/>
        </w:rPr>
        <w:t>$16.66 to $5930.85</w:t>
      </w:r>
      <w:r w:rsidRPr="00815BD4">
        <w:rPr>
          <w:rFonts w:ascii="Times New Roman" w:hAnsi="Times New Roman" w:cs="Times New Roman"/>
          <w:color w:val="000000"/>
          <w:kern w:val="0"/>
          <w:sz w:val="16"/>
          <w:szCs w:val="16"/>
          <w:lang w:val="en-GB"/>
        </w:rPr>
        <w:t xml:space="preserve">, reflecting a staggering increase of approximately </w:t>
      </w:r>
      <w:r w:rsidRPr="00EA01CD">
        <w:rPr>
          <w:rFonts w:ascii="Times New Roman" w:hAnsi="Times New Roman" w:cs="Times New Roman"/>
          <w:b/>
          <w:bCs/>
          <w:color w:val="000000"/>
          <w:kern w:val="0"/>
          <w:sz w:val="16"/>
          <w:szCs w:val="16"/>
          <w:lang w:val="en-GB"/>
        </w:rPr>
        <w:t>35,499%.</w:t>
      </w:r>
      <w:r w:rsidRPr="00815BD4">
        <w:rPr>
          <w:rFonts w:ascii="Times New Roman" w:hAnsi="Times New Roman" w:cs="Times New Roman"/>
          <w:color w:val="000000"/>
          <w:kern w:val="0"/>
          <w:sz w:val="16"/>
          <w:szCs w:val="16"/>
          <w:lang w:val="en-GB"/>
        </w:rPr>
        <w:t xml:space="preserve"> This consistent growth highlights the resilience and value-generation capability of financial markets over decades, supported by economic expansion and inflation-adjusted performance. Similarly, the monthly average closing prices echo this trend, rising from </w:t>
      </w:r>
      <w:r w:rsidRPr="00EA01CD">
        <w:rPr>
          <w:rFonts w:ascii="Times New Roman" w:hAnsi="Times New Roman" w:cs="Times New Roman"/>
          <w:b/>
          <w:bCs/>
          <w:color w:val="000000"/>
          <w:kern w:val="0"/>
          <w:sz w:val="16"/>
          <w:szCs w:val="16"/>
          <w:lang w:val="en-GB"/>
        </w:rPr>
        <w:t>$16.88 to $6027.86</w:t>
      </w:r>
      <w:r w:rsidRPr="00815BD4">
        <w:rPr>
          <w:rFonts w:ascii="Times New Roman" w:hAnsi="Times New Roman" w:cs="Times New Roman"/>
          <w:color w:val="000000"/>
          <w:kern w:val="0"/>
          <w:sz w:val="16"/>
          <w:szCs w:val="16"/>
          <w:lang w:val="en-GB"/>
        </w:rPr>
        <w:t xml:space="preserve">, with a comparable growth percentage of </w:t>
      </w:r>
      <w:r w:rsidRPr="00EA01CD">
        <w:rPr>
          <w:rFonts w:ascii="Times New Roman" w:hAnsi="Times New Roman" w:cs="Times New Roman"/>
          <w:b/>
          <w:bCs/>
          <w:color w:val="000000"/>
          <w:kern w:val="0"/>
          <w:sz w:val="16"/>
          <w:szCs w:val="16"/>
          <w:lang w:val="en-GB"/>
        </w:rPr>
        <w:t>35,619%,</w:t>
      </w:r>
      <w:r w:rsidRPr="00815BD4">
        <w:rPr>
          <w:rFonts w:ascii="Times New Roman" w:hAnsi="Times New Roman" w:cs="Times New Roman"/>
          <w:color w:val="000000"/>
          <w:kern w:val="0"/>
          <w:sz w:val="16"/>
          <w:szCs w:val="16"/>
          <w:lang w:val="en-GB"/>
        </w:rPr>
        <w:t xml:space="preserve"> further reinforcing the index’s long-term stability and profitability despite short-term market volatility.</w:t>
      </w:r>
    </w:p>
    <w:p w:rsidR="00815BD4" w:rsidRPr="00815BD4" w:rsidRDefault="00815BD4" w:rsidP="00815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815BD4" w:rsidRPr="00815BD4" w:rsidRDefault="00815BD4" w:rsidP="00815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r w:rsidRPr="00815BD4">
        <w:rPr>
          <w:rFonts w:ascii="Times New Roman" w:hAnsi="Times New Roman" w:cs="Times New Roman"/>
          <w:color w:val="000000"/>
          <w:kern w:val="0"/>
          <w:sz w:val="16"/>
          <w:szCs w:val="16"/>
          <w:lang w:val="en-GB"/>
        </w:rPr>
        <w:t xml:space="preserve">Trading volumes also show significant evolution, with the highest volume of </w:t>
      </w:r>
      <w:r w:rsidRPr="00EA01CD">
        <w:rPr>
          <w:rFonts w:ascii="Times New Roman" w:hAnsi="Times New Roman" w:cs="Times New Roman"/>
          <w:b/>
          <w:bCs/>
          <w:color w:val="000000"/>
          <w:kern w:val="0"/>
          <w:sz w:val="16"/>
          <w:szCs w:val="16"/>
          <w:lang w:val="en-GB"/>
        </w:rPr>
        <w:t>11.46 billion</w:t>
      </w:r>
      <w:r w:rsidRPr="00815BD4">
        <w:rPr>
          <w:rFonts w:ascii="Times New Roman" w:hAnsi="Times New Roman" w:cs="Times New Roman"/>
          <w:color w:val="000000"/>
          <w:kern w:val="0"/>
          <w:sz w:val="16"/>
          <w:szCs w:val="16"/>
          <w:lang w:val="en-GB"/>
        </w:rPr>
        <w:t xml:space="preserve"> shares recorded on </w:t>
      </w:r>
      <w:r w:rsidRPr="00EA01CD">
        <w:rPr>
          <w:rFonts w:ascii="Times New Roman" w:hAnsi="Times New Roman" w:cs="Times New Roman"/>
          <w:b/>
          <w:bCs/>
          <w:color w:val="000000"/>
          <w:kern w:val="0"/>
          <w:sz w:val="16"/>
          <w:szCs w:val="16"/>
          <w:lang w:val="en-GB"/>
        </w:rPr>
        <w:t>2008-10-10</w:t>
      </w:r>
      <w:r w:rsidRPr="00815BD4">
        <w:rPr>
          <w:rFonts w:ascii="Times New Roman" w:hAnsi="Times New Roman" w:cs="Times New Roman"/>
          <w:color w:val="000000"/>
          <w:kern w:val="0"/>
          <w:sz w:val="16"/>
          <w:szCs w:val="16"/>
          <w:lang w:val="en-GB"/>
        </w:rPr>
        <w:t xml:space="preserve">, during the financial crisis, and the lowest of </w:t>
      </w:r>
      <w:r w:rsidRPr="00EA01CD">
        <w:rPr>
          <w:rFonts w:ascii="Times New Roman" w:hAnsi="Times New Roman" w:cs="Times New Roman"/>
          <w:b/>
          <w:bCs/>
          <w:color w:val="000000"/>
          <w:kern w:val="0"/>
          <w:sz w:val="16"/>
          <w:szCs w:val="16"/>
          <w:lang w:val="en-GB"/>
        </w:rPr>
        <w:t>680,000</w:t>
      </w:r>
      <w:r w:rsidRPr="00815BD4">
        <w:rPr>
          <w:rFonts w:ascii="Times New Roman" w:hAnsi="Times New Roman" w:cs="Times New Roman"/>
          <w:color w:val="000000"/>
          <w:kern w:val="0"/>
          <w:sz w:val="16"/>
          <w:szCs w:val="16"/>
          <w:lang w:val="en-GB"/>
        </w:rPr>
        <w:t xml:space="preserve"> shares on </w:t>
      </w:r>
      <w:r w:rsidRPr="00EA01CD">
        <w:rPr>
          <w:rFonts w:ascii="Times New Roman" w:hAnsi="Times New Roman" w:cs="Times New Roman"/>
          <w:b/>
          <w:bCs/>
          <w:color w:val="000000"/>
          <w:kern w:val="0"/>
          <w:sz w:val="16"/>
          <w:szCs w:val="16"/>
          <w:lang w:val="en-GB"/>
        </w:rPr>
        <w:t>1951-12-24</w:t>
      </w:r>
      <w:r w:rsidRPr="00815BD4">
        <w:rPr>
          <w:rFonts w:ascii="Times New Roman" w:hAnsi="Times New Roman" w:cs="Times New Roman"/>
          <w:color w:val="000000"/>
          <w:kern w:val="0"/>
          <w:sz w:val="16"/>
          <w:szCs w:val="16"/>
          <w:lang w:val="en-GB"/>
        </w:rPr>
        <w:t xml:space="preserve">, reflecting early market activity. The correlation between monthly trading volume and closing prices, with a coefficient of </w:t>
      </w:r>
      <w:r w:rsidRPr="00EA01CD">
        <w:rPr>
          <w:rFonts w:ascii="Times New Roman" w:hAnsi="Times New Roman" w:cs="Times New Roman"/>
          <w:b/>
          <w:bCs/>
          <w:color w:val="000000"/>
          <w:kern w:val="0"/>
          <w:sz w:val="16"/>
          <w:szCs w:val="16"/>
          <w:lang w:val="en-GB"/>
        </w:rPr>
        <w:t>0.79</w:t>
      </w:r>
      <w:r w:rsidRPr="00815BD4">
        <w:rPr>
          <w:rFonts w:ascii="Times New Roman" w:hAnsi="Times New Roman" w:cs="Times New Roman"/>
          <w:color w:val="000000"/>
          <w:kern w:val="0"/>
          <w:sz w:val="16"/>
          <w:szCs w:val="16"/>
          <w:lang w:val="en-GB"/>
        </w:rPr>
        <w:t xml:space="preserve">, indicates a strong relationship, suggesting that higher trading activity is often associated with bullish market conditions. Additionally, the daily high-low spread, averaging </w:t>
      </w:r>
      <w:r w:rsidRPr="00EA01CD">
        <w:rPr>
          <w:rFonts w:ascii="Times New Roman" w:hAnsi="Times New Roman" w:cs="Times New Roman"/>
          <w:b/>
          <w:bCs/>
          <w:color w:val="000000"/>
          <w:kern w:val="0"/>
          <w:sz w:val="16"/>
          <w:szCs w:val="16"/>
          <w:lang w:val="en-GB"/>
        </w:rPr>
        <w:t>$10.14</w:t>
      </w:r>
      <w:r w:rsidRPr="00815BD4">
        <w:rPr>
          <w:rFonts w:ascii="Times New Roman" w:hAnsi="Times New Roman" w:cs="Times New Roman"/>
          <w:color w:val="000000"/>
          <w:kern w:val="0"/>
          <w:sz w:val="16"/>
          <w:szCs w:val="16"/>
          <w:lang w:val="en-GB"/>
        </w:rPr>
        <w:t xml:space="preserve"> and peaking at </w:t>
      </w:r>
      <w:r w:rsidRPr="00EA01CD">
        <w:rPr>
          <w:rFonts w:ascii="Times New Roman" w:hAnsi="Times New Roman" w:cs="Times New Roman"/>
          <w:b/>
          <w:bCs/>
          <w:color w:val="000000"/>
          <w:kern w:val="0"/>
          <w:sz w:val="16"/>
          <w:szCs w:val="16"/>
          <w:lang w:val="en-GB"/>
        </w:rPr>
        <w:t>$218.96</w:t>
      </w:r>
      <w:r w:rsidRPr="00815BD4">
        <w:rPr>
          <w:rFonts w:ascii="Times New Roman" w:hAnsi="Times New Roman" w:cs="Times New Roman"/>
          <w:color w:val="000000"/>
          <w:kern w:val="0"/>
          <w:sz w:val="16"/>
          <w:szCs w:val="16"/>
          <w:lang w:val="en-GB"/>
        </w:rPr>
        <w:t xml:space="preserve"> during the COVID-19 crisis on </w:t>
      </w:r>
      <w:r w:rsidRPr="00EA01CD">
        <w:rPr>
          <w:rFonts w:ascii="Times New Roman" w:hAnsi="Times New Roman" w:cs="Times New Roman"/>
          <w:b/>
          <w:bCs/>
          <w:color w:val="000000"/>
          <w:kern w:val="0"/>
          <w:sz w:val="16"/>
          <w:szCs w:val="16"/>
          <w:lang w:val="en-GB"/>
        </w:rPr>
        <w:t>2020-03-13</w:t>
      </w:r>
      <w:r w:rsidRPr="00815BD4">
        <w:rPr>
          <w:rFonts w:ascii="Times New Roman" w:hAnsi="Times New Roman" w:cs="Times New Roman"/>
          <w:color w:val="000000"/>
          <w:kern w:val="0"/>
          <w:sz w:val="16"/>
          <w:szCs w:val="16"/>
          <w:lang w:val="en-GB"/>
        </w:rPr>
        <w:t>, showcases market volatility during significant economic events.</w:t>
      </w:r>
    </w:p>
    <w:p w:rsidR="00815BD4" w:rsidRPr="00815BD4" w:rsidRDefault="00815BD4" w:rsidP="00815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lang w:val="en-GB"/>
        </w:rPr>
      </w:pPr>
    </w:p>
    <w:p w:rsidR="00FC0943" w:rsidRPr="00815BD4" w:rsidRDefault="00815BD4" w:rsidP="00815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16"/>
          <w:szCs w:val="16"/>
        </w:rPr>
      </w:pPr>
      <w:r w:rsidRPr="00815BD4">
        <w:rPr>
          <w:rFonts w:ascii="Times New Roman" w:hAnsi="Times New Roman" w:cs="Times New Roman"/>
          <w:color w:val="000000"/>
          <w:kern w:val="0"/>
          <w:sz w:val="16"/>
          <w:szCs w:val="16"/>
          <w:lang w:val="en-GB"/>
        </w:rPr>
        <w:t xml:space="preserve">The distribution of closing prices, with a </w:t>
      </w:r>
      <w:r w:rsidRPr="00EA01CD">
        <w:rPr>
          <w:rFonts w:ascii="Times New Roman" w:hAnsi="Times New Roman" w:cs="Times New Roman"/>
          <w:b/>
          <w:bCs/>
          <w:color w:val="000000"/>
          <w:kern w:val="0"/>
          <w:sz w:val="16"/>
          <w:szCs w:val="16"/>
          <w:lang w:val="en-GB"/>
        </w:rPr>
        <w:t>mean of</w:t>
      </w:r>
      <w:r w:rsidRPr="00815BD4">
        <w:rPr>
          <w:rFonts w:ascii="Times New Roman" w:hAnsi="Times New Roman" w:cs="Times New Roman"/>
          <w:color w:val="000000"/>
          <w:kern w:val="0"/>
          <w:sz w:val="16"/>
          <w:szCs w:val="16"/>
          <w:lang w:val="en-GB"/>
        </w:rPr>
        <w:t xml:space="preserve"> </w:t>
      </w:r>
      <w:r w:rsidRPr="00EA01CD">
        <w:rPr>
          <w:rFonts w:ascii="Times New Roman" w:hAnsi="Times New Roman" w:cs="Times New Roman"/>
          <w:b/>
          <w:bCs/>
          <w:color w:val="000000"/>
          <w:kern w:val="0"/>
          <w:sz w:val="16"/>
          <w:szCs w:val="16"/>
          <w:lang w:val="en-GB"/>
        </w:rPr>
        <w:t>$844.50</w:t>
      </w:r>
      <w:r w:rsidRPr="00815BD4">
        <w:rPr>
          <w:rFonts w:ascii="Times New Roman" w:hAnsi="Times New Roman" w:cs="Times New Roman"/>
          <w:color w:val="000000"/>
          <w:kern w:val="0"/>
          <w:sz w:val="16"/>
          <w:szCs w:val="16"/>
          <w:lang w:val="en-GB"/>
        </w:rPr>
        <w:t xml:space="preserve">, </w:t>
      </w:r>
      <w:r w:rsidRPr="00EA01CD">
        <w:rPr>
          <w:rFonts w:ascii="Times New Roman" w:hAnsi="Times New Roman" w:cs="Times New Roman"/>
          <w:b/>
          <w:bCs/>
          <w:color w:val="000000"/>
          <w:kern w:val="0"/>
          <w:sz w:val="16"/>
          <w:szCs w:val="16"/>
          <w:lang w:val="en-GB"/>
        </w:rPr>
        <w:t>a median of</w:t>
      </w:r>
      <w:r w:rsidRPr="00815BD4">
        <w:rPr>
          <w:rFonts w:ascii="Times New Roman" w:hAnsi="Times New Roman" w:cs="Times New Roman"/>
          <w:color w:val="000000"/>
          <w:kern w:val="0"/>
          <w:sz w:val="16"/>
          <w:szCs w:val="16"/>
          <w:lang w:val="en-GB"/>
        </w:rPr>
        <w:t xml:space="preserve"> </w:t>
      </w:r>
      <w:r w:rsidRPr="00EA01CD">
        <w:rPr>
          <w:rFonts w:ascii="Times New Roman" w:hAnsi="Times New Roman" w:cs="Times New Roman"/>
          <w:b/>
          <w:bCs/>
          <w:color w:val="000000"/>
          <w:kern w:val="0"/>
          <w:sz w:val="16"/>
          <w:szCs w:val="16"/>
          <w:lang w:val="en-GB"/>
        </w:rPr>
        <w:t>$261.33</w:t>
      </w:r>
      <w:r w:rsidRPr="00815BD4">
        <w:rPr>
          <w:rFonts w:ascii="Times New Roman" w:hAnsi="Times New Roman" w:cs="Times New Roman"/>
          <w:color w:val="000000"/>
          <w:kern w:val="0"/>
          <w:sz w:val="16"/>
          <w:szCs w:val="16"/>
          <w:lang w:val="en-GB"/>
        </w:rPr>
        <w:t xml:space="preserve">, and a </w:t>
      </w:r>
      <w:r w:rsidRPr="00EA01CD">
        <w:rPr>
          <w:rFonts w:ascii="Times New Roman" w:hAnsi="Times New Roman" w:cs="Times New Roman"/>
          <w:b/>
          <w:bCs/>
          <w:color w:val="000000"/>
          <w:kern w:val="0"/>
          <w:sz w:val="16"/>
          <w:szCs w:val="16"/>
          <w:lang w:val="en-GB"/>
        </w:rPr>
        <w:t>standard deviation of</w:t>
      </w:r>
      <w:r w:rsidRPr="00815BD4">
        <w:rPr>
          <w:rFonts w:ascii="Times New Roman" w:hAnsi="Times New Roman" w:cs="Times New Roman"/>
          <w:color w:val="000000"/>
          <w:kern w:val="0"/>
          <w:sz w:val="16"/>
          <w:szCs w:val="16"/>
          <w:lang w:val="en-GB"/>
        </w:rPr>
        <w:t xml:space="preserve"> </w:t>
      </w:r>
      <w:r w:rsidRPr="00EA01CD">
        <w:rPr>
          <w:rFonts w:ascii="Times New Roman" w:hAnsi="Times New Roman" w:cs="Times New Roman"/>
          <w:b/>
          <w:bCs/>
          <w:color w:val="000000"/>
          <w:kern w:val="0"/>
          <w:sz w:val="16"/>
          <w:szCs w:val="16"/>
          <w:lang w:val="en-GB"/>
        </w:rPr>
        <w:t>$1164.97</w:t>
      </w:r>
      <w:r w:rsidRPr="00815BD4">
        <w:rPr>
          <w:rFonts w:ascii="Times New Roman" w:hAnsi="Times New Roman" w:cs="Times New Roman"/>
          <w:color w:val="000000"/>
          <w:kern w:val="0"/>
          <w:sz w:val="16"/>
          <w:szCs w:val="16"/>
          <w:lang w:val="en-GB"/>
        </w:rPr>
        <w:t>, highlights the right-skewed nature of the data, reflecting the concentration of lower values in the earlier decades and the growth trajectory of the index. Together, these analyses provide a comprehensive picture of the S&amp;P 500’s historical performance, market activity, and its role as a key indicator of economic growth and market sentiment.</w:t>
      </w:r>
    </w:p>
    <w:p w:rsidR="00EF4D0E" w:rsidRDefault="00EF4D0E" w:rsidP="007F17DD">
      <w:pPr>
        <w:jc w:val="both"/>
        <w:rPr>
          <w:rFonts w:ascii="Times New Roman" w:hAnsi="Times New Roman" w:cs="Times New Roman"/>
          <w:b/>
          <w:bCs/>
          <w:color w:val="0B5AB2"/>
          <w:kern w:val="0"/>
          <w:sz w:val="20"/>
          <w:szCs w:val="20"/>
          <w:lang w:val="en-GB"/>
        </w:rPr>
      </w:pPr>
    </w:p>
    <w:p w:rsidR="00875B88" w:rsidRDefault="001C1421" w:rsidP="007F17DD">
      <w:pPr>
        <w:jc w:val="both"/>
        <w:rPr>
          <w:rFonts w:ascii="Times New Roman" w:hAnsi="Times New Roman" w:cs="Times New Roman"/>
          <w:b/>
          <w:bCs/>
          <w:color w:val="0B5AB2"/>
          <w:kern w:val="0"/>
          <w:sz w:val="20"/>
          <w:szCs w:val="20"/>
          <w:lang w:val="en-GB"/>
        </w:rPr>
      </w:pPr>
      <w:r>
        <w:rPr>
          <w:rFonts w:ascii="Times New Roman" w:hAnsi="Times New Roman" w:cs="Times New Roman"/>
          <w:b/>
          <w:bCs/>
          <w:color w:val="0B5AB2"/>
          <w:kern w:val="0"/>
          <w:sz w:val="20"/>
          <w:szCs w:val="20"/>
          <w:lang w:val="en-GB"/>
        </w:rPr>
        <w:t xml:space="preserve">4. </w:t>
      </w:r>
      <w:r w:rsidR="00F5093A" w:rsidRPr="00986234">
        <w:rPr>
          <w:rFonts w:ascii="Times New Roman" w:hAnsi="Times New Roman" w:cs="Times New Roman"/>
          <w:b/>
          <w:bCs/>
          <w:color w:val="0B5AB2"/>
          <w:kern w:val="0"/>
          <w:sz w:val="20"/>
          <w:szCs w:val="20"/>
          <w:lang w:val="en-GB"/>
        </w:rPr>
        <w:t>Discussion and Conclusion</w:t>
      </w:r>
    </w:p>
    <w:p w:rsidR="009873F1" w:rsidRDefault="009873F1" w:rsidP="007F17DD">
      <w:pPr>
        <w:jc w:val="both"/>
        <w:rPr>
          <w:rFonts w:ascii="Times New Roman" w:hAnsi="Times New Roman" w:cs="Times New Roman"/>
          <w:b/>
          <w:bCs/>
          <w:color w:val="0B5AB2"/>
          <w:kern w:val="0"/>
          <w:sz w:val="20"/>
          <w:szCs w:val="20"/>
          <w:lang w:val="en-GB"/>
        </w:rPr>
      </w:pPr>
    </w:p>
    <w:p w:rsidR="00EA01CD" w:rsidRPr="00F819F1" w:rsidRDefault="00EA01CD" w:rsidP="00EA01CD">
      <w:pPr>
        <w:jc w:val="both"/>
        <w:rPr>
          <w:rFonts w:ascii="Times New Roman" w:hAnsi="Times New Roman" w:cs="Times New Roman"/>
          <w:color w:val="000000"/>
          <w:kern w:val="0"/>
          <w:sz w:val="16"/>
          <w:szCs w:val="16"/>
          <w:lang w:val="en-GB"/>
        </w:rPr>
      </w:pPr>
      <w:r w:rsidRPr="00EA01CD">
        <w:rPr>
          <w:rFonts w:ascii="Times New Roman" w:hAnsi="Times New Roman" w:cs="Times New Roman"/>
          <w:color w:val="000000"/>
          <w:kern w:val="0"/>
          <w:sz w:val="16"/>
          <w:szCs w:val="16"/>
          <w:lang w:val="en-GB"/>
        </w:rPr>
        <w:t>Th</w:t>
      </w:r>
      <w:r w:rsidR="00A04C14">
        <w:rPr>
          <w:rFonts w:ascii="Times New Roman" w:hAnsi="Times New Roman" w:cs="Times New Roman"/>
          <w:color w:val="000000"/>
          <w:kern w:val="0"/>
          <w:sz w:val="16"/>
          <w:szCs w:val="16"/>
          <w:lang w:val="en-GB"/>
        </w:rPr>
        <w:t>e</w:t>
      </w:r>
      <w:r w:rsidRPr="00EA01CD">
        <w:rPr>
          <w:rFonts w:ascii="Times New Roman" w:hAnsi="Times New Roman" w:cs="Times New Roman"/>
          <w:color w:val="000000"/>
          <w:kern w:val="0"/>
          <w:sz w:val="16"/>
          <w:szCs w:val="16"/>
          <w:lang w:val="en-GB"/>
        </w:rPr>
        <w:t xml:space="preserve"> </w:t>
      </w:r>
      <w:r w:rsidR="00A04C14">
        <w:rPr>
          <w:rFonts w:ascii="Times New Roman" w:hAnsi="Times New Roman" w:cs="Times New Roman"/>
          <w:color w:val="000000"/>
          <w:kern w:val="0"/>
          <w:sz w:val="16"/>
          <w:szCs w:val="16"/>
          <w:lang w:val="en-GB"/>
        </w:rPr>
        <w:t xml:space="preserve">report </w:t>
      </w:r>
      <w:r w:rsidRPr="00EA01CD">
        <w:rPr>
          <w:rFonts w:ascii="Times New Roman" w:hAnsi="Times New Roman" w:cs="Times New Roman"/>
          <w:color w:val="000000"/>
          <w:kern w:val="0"/>
          <w:sz w:val="16"/>
          <w:szCs w:val="16"/>
          <w:lang w:val="en-GB"/>
        </w:rPr>
        <w:t>offers a comprehensive analysis of the S&amp;P 500, combining sectoral insights with historical index trends to uncover key market dynamics. By examining financial performance, workforce distribution, and long-term growth patterns, it highlights the evolution of the market. These findings provide valuable perspectives for informed decision-making and a deeper understanding of economic and market behaviour.</w:t>
      </w:r>
    </w:p>
    <w:sectPr w:rsidR="00EA01CD" w:rsidRPr="00F819F1" w:rsidSect="00FC0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175C7"/>
    <w:multiLevelType w:val="hybridMultilevel"/>
    <w:tmpl w:val="E362C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4994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0B"/>
    <w:rsid w:val="00031DE8"/>
    <w:rsid w:val="00077F94"/>
    <w:rsid w:val="000938E7"/>
    <w:rsid w:val="000A5829"/>
    <w:rsid w:val="000D4F35"/>
    <w:rsid w:val="000E462E"/>
    <w:rsid w:val="001A746B"/>
    <w:rsid w:val="001C1421"/>
    <w:rsid w:val="001E09A7"/>
    <w:rsid w:val="001F2C88"/>
    <w:rsid w:val="00222B12"/>
    <w:rsid w:val="00264962"/>
    <w:rsid w:val="00267DE9"/>
    <w:rsid w:val="002F7A7A"/>
    <w:rsid w:val="00306817"/>
    <w:rsid w:val="003353E1"/>
    <w:rsid w:val="00354DEB"/>
    <w:rsid w:val="00370E73"/>
    <w:rsid w:val="0037685C"/>
    <w:rsid w:val="003A0E33"/>
    <w:rsid w:val="003B4A39"/>
    <w:rsid w:val="003C6825"/>
    <w:rsid w:val="004B3767"/>
    <w:rsid w:val="004F44BF"/>
    <w:rsid w:val="00543943"/>
    <w:rsid w:val="00560D01"/>
    <w:rsid w:val="005624F7"/>
    <w:rsid w:val="00574437"/>
    <w:rsid w:val="00577BC8"/>
    <w:rsid w:val="00597B1A"/>
    <w:rsid w:val="005C05B6"/>
    <w:rsid w:val="0063337B"/>
    <w:rsid w:val="00672890"/>
    <w:rsid w:val="00674042"/>
    <w:rsid w:val="00712A17"/>
    <w:rsid w:val="00741AEE"/>
    <w:rsid w:val="00753A8C"/>
    <w:rsid w:val="007549A3"/>
    <w:rsid w:val="007553B3"/>
    <w:rsid w:val="007D0B2A"/>
    <w:rsid w:val="007F17DD"/>
    <w:rsid w:val="0081161C"/>
    <w:rsid w:val="00815BD4"/>
    <w:rsid w:val="008428E7"/>
    <w:rsid w:val="008567FD"/>
    <w:rsid w:val="00875B88"/>
    <w:rsid w:val="009243CE"/>
    <w:rsid w:val="009621FA"/>
    <w:rsid w:val="009704A3"/>
    <w:rsid w:val="009704E2"/>
    <w:rsid w:val="00971A0B"/>
    <w:rsid w:val="00986234"/>
    <w:rsid w:val="009873F1"/>
    <w:rsid w:val="009911A1"/>
    <w:rsid w:val="00991459"/>
    <w:rsid w:val="009E0534"/>
    <w:rsid w:val="00A04C14"/>
    <w:rsid w:val="00A056C4"/>
    <w:rsid w:val="00A12437"/>
    <w:rsid w:val="00A262AB"/>
    <w:rsid w:val="00A635E5"/>
    <w:rsid w:val="00AF3929"/>
    <w:rsid w:val="00B1664A"/>
    <w:rsid w:val="00B4444F"/>
    <w:rsid w:val="00B73C78"/>
    <w:rsid w:val="00BA7459"/>
    <w:rsid w:val="00BE510B"/>
    <w:rsid w:val="00C177A6"/>
    <w:rsid w:val="00C64F0E"/>
    <w:rsid w:val="00CC48A9"/>
    <w:rsid w:val="00CD5498"/>
    <w:rsid w:val="00CE34B8"/>
    <w:rsid w:val="00D41AAE"/>
    <w:rsid w:val="00D46078"/>
    <w:rsid w:val="00DC691E"/>
    <w:rsid w:val="00DD317E"/>
    <w:rsid w:val="00DE307B"/>
    <w:rsid w:val="00DE5AC2"/>
    <w:rsid w:val="00E87089"/>
    <w:rsid w:val="00EA01CD"/>
    <w:rsid w:val="00EA7B2C"/>
    <w:rsid w:val="00EC170D"/>
    <w:rsid w:val="00EF4D0E"/>
    <w:rsid w:val="00F5093A"/>
    <w:rsid w:val="00F819F1"/>
    <w:rsid w:val="00FB0CFF"/>
    <w:rsid w:val="00FC0943"/>
    <w:rsid w:val="00FF374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A751"/>
  <w15:chartTrackingRefBased/>
  <w15:docId w15:val="{92C0448A-6491-6F42-882A-21D7F59F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6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17DD"/>
    <w:pPr>
      <w:ind w:left="720"/>
      <w:contextualSpacing/>
    </w:pPr>
  </w:style>
  <w:style w:type="paragraph" w:styleId="Revision">
    <w:name w:val="Revision"/>
    <w:hidden/>
    <w:uiPriority w:val="99"/>
    <w:semiHidden/>
    <w:rsid w:val="001A746B"/>
  </w:style>
  <w:style w:type="character" w:styleId="Hyperlink">
    <w:name w:val="Hyperlink"/>
    <w:basedOn w:val="DefaultParagraphFont"/>
    <w:uiPriority w:val="99"/>
    <w:unhideWhenUsed/>
    <w:rsid w:val="00C64F0E"/>
    <w:rPr>
      <w:color w:val="0563C1" w:themeColor="hyperlink"/>
      <w:u w:val="single"/>
    </w:rPr>
  </w:style>
  <w:style w:type="character" w:styleId="UnresolvedMention">
    <w:name w:val="Unresolved Mention"/>
    <w:basedOn w:val="DefaultParagraphFont"/>
    <w:uiPriority w:val="99"/>
    <w:semiHidden/>
    <w:unhideWhenUsed/>
    <w:rsid w:val="00C64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4024">
      <w:bodyDiv w:val="1"/>
      <w:marLeft w:val="0"/>
      <w:marRight w:val="0"/>
      <w:marTop w:val="0"/>
      <w:marBottom w:val="0"/>
      <w:divBdr>
        <w:top w:val="none" w:sz="0" w:space="0" w:color="auto"/>
        <w:left w:val="none" w:sz="0" w:space="0" w:color="auto"/>
        <w:bottom w:val="none" w:sz="0" w:space="0" w:color="auto"/>
        <w:right w:val="none" w:sz="0" w:space="0" w:color="auto"/>
      </w:divBdr>
    </w:div>
    <w:div w:id="260383996">
      <w:bodyDiv w:val="1"/>
      <w:marLeft w:val="0"/>
      <w:marRight w:val="0"/>
      <w:marTop w:val="0"/>
      <w:marBottom w:val="0"/>
      <w:divBdr>
        <w:top w:val="none" w:sz="0" w:space="0" w:color="auto"/>
        <w:left w:val="none" w:sz="0" w:space="0" w:color="auto"/>
        <w:bottom w:val="none" w:sz="0" w:space="0" w:color="auto"/>
        <w:right w:val="none" w:sz="0" w:space="0" w:color="auto"/>
      </w:divBdr>
    </w:div>
    <w:div w:id="303435477">
      <w:bodyDiv w:val="1"/>
      <w:marLeft w:val="0"/>
      <w:marRight w:val="0"/>
      <w:marTop w:val="0"/>
      <w:marBottom w:val="0"/>
      <w:divBdr>
        <w:top w:val="none" w:sz="0" w:space="0" w:color="auto"/>
        <w:left w:val="none" w:sz="0" w:space="0" w:color="auto"/>
        <w:bottom w:val="none" w:sz="0" w:space="0" w:color="auto"/>
        <w:right w:val="none" w:sz="0" w:space="0" w:color="auto"/>
      </w:divBdr>
    </w:div>
    <w:div w:id="335495680">
      <w:bodyDiv w:val="1"/>
      <w:marLeft w:val="0"/>
      <w:marRight w:val="0"/>
      <w:marTop w:val="0"/>
      <w:marBottom w:val="0"/>
      <w:divBdr>
        <w:top w:val="none" w:sz="0" w:space="0" w:color="auto"/>
        <w:left w:val="none" w:sz="0" w:space="0" w:color="auto"/>
        <w:bottom w:val="none" w:sz="0" w:space="0" w:color="auto"/>
        <w:right w:val="none" w:sz="0" w:space="0" w:color="auto"/>
      </w:divBdr>
    </w:div>
    <w:div w:id="391388298">
      <w:bodyDiv w:val="1"/>
      <w:marLeft w:val="0"/>
      <w:marRight w:val="0"/>
      <w:marTop w:val="0"/>
      <w:marBottom w:val="0"/>
      <w:divBdr>
        <w:top w:val="none" w:sz="0" w:space="0" w:color="auto"/>
        <w:left w:val="none" w:sz="0" w:space="0" w:color="auto"/>
        <w:bottom w:val="none" w:sz="0" w:space="0" w:color="auto"/>
        <w:right w:val="none" w:sz="0" w:space="0" w:color="auto"/>
      </w:divBdr>
    </w:div>
    <w:div w:id="490752102">
      <w:bodyDiv w:val="1"/>
      <w:marLeft w:val="0"/>
      <w:marRight w:val="0"/>
      <w:marTop w:val="0"/>
      <w:marBottom w:val="0"/>
      <w:divBdr>
        <w:top w:val="none" w:sz="0" w:space="0" w:color="auto"/>
        <w:left w:val="none" w:sz="0" w:space="0" w:color="auto"/>
        <w:bottom w:val="none" w:sz="0" w:space="0" w:color="auto"/>
        <w:right w:val="none" w:sz="0" w:space="0" w:color="auto"/>
      </w:divBdr>
    </w:div>
    <w:div w:id="538977453">
      <w:bodyDiv w:val="1"/>
      <w:marLeft w:val="0"/>
      <w:marRight w:val="0"/>
      <w:marTop w:val="0"/>
      <w:marBottom w:val="0"/>
      <w:divBdr>
        <w:top w:val="none" w:sz="0" w:space="0" w:color="auto"/>
        <w:left w:val="none" w:sz="0" w:space="0" w:color="auto"/>
        <w:bottom w:val="none" w:sz="0" w:space="0" w:color="auto"/>
        <w:right w:val="none" w:sz="0" w:space="0" w:color="auto"/>
      </w:divBdr>
    </w:div>
    <w:div w:id="593132547">
      <w:bodyDiv w:val="1"/>
      <w:marLeft w:val="0"/>
      <w:marRight w:val="0"/>
      <w:marTop w:val="0"/>
      <w:marBottom w:val="0"/>
      <w:divBdr>
        <w:top w:val="none" w:sz="0" w:space="0" w:color="auto"/>
        <w:left w:val="none" w:sz="0" w:space="0" w:color="auto"/>
        <w:bottom w:val="none" w:sz="0" w:space="0" w:color="auto"/>
        <w:right w:val="none" w:sz="0" w:space="0" w:color="auto"/>
      </w:divBdr>
    </w:div>
    <w:div w:id="643000443">
      <w:bodyDiv w:val="1"/>
      <w:marLeft w:val="0"/>
      <w:marRight w:val="0"/>
      <w:marTop w:val="0"/>
      <w:marBottom w:val="0"/>
      <w:divBdr>
        <w:top w:val="none" w:sz="0" w:space="0" w:color="auto"/>
        <w:left w:val="none" w:sz="0" w:space="0" w:color="auto"/>
        <w:bottom w:val="none" w:sz="0" w:space="0" w:color="auto"/>
        <w:right w:val="none" w:sz="0" w:space="0" w:color="auto"/>
      </w:divBdr>
    </w:div>
    <w:div w:id="758522863">
      <w:bodyDiv w:val="1"/>
      <w:marLeft w:val="0"/>
      <w:marRight w:val="0"/>
      <w:marTop w:val="0"/>
      <w:marBottom w:val="0"/>
      <w:divBdr>
        <w:top w:val="none" w:sz="0" w:space="0" w:color="auto"/>
        <w:left w:val="none" w:sz="0" w:space="0" w:color="auto"/>
        <w:bottom w:val="none" w:sz="0" w:space="0" w:color="auto"/>
        <w:right w:val="none" w:sz="0" w:space="0" w:color="auto"/>
      </w:divBdr>
    </w:div>
    <w:div w:id="1064067141">
      <w:bodyDiv w:val="1"/>
      <w:marLeft w:val="0"/>
      <w:marRight w:val="0"/>
      <w:marTop w:val="0"/>
      <w:marBottom w:val="0"/>
      <w:divBdr>
        <w:top w:val="none" w:sz="0" w:space="0" w:color="auto"/>
        <w:left w:val="none" w:sz="0" w:space="0" w:color="auto"/>
        <w:bottom w:val="none" w:sz="0" w:space="0" w:color="auto"/>
        <w:right w:val="none" w:sz="0" w:space="0" w:color="auto"/>
      </w:divBdr>
    </w:div>
    <w:div w:id="1306817866">
      <w:bodyDiv w:val="1"/>
      <w:marLeft w:val="0"/>
      <w:marRight w:val="0"/>
      <w:marTop w:val="0"/>
      <w:marBottom w:val="0"/>
      <w:divBdr>
        <w:top w:val="none" w:sz="0" w:space="0" w:color="auto"/>
        <w:left w:val="none" w:sz="0" w:space="0" w:color="auto"/>
        <w:bottom w:val="none" w:sz="0" w:space="0" w:color="auto"/>
        <w:right w:val="none" w:sz="0" w:space="0" w:color="auto"/>
      </w:divBdr>
    </w:div>
    <w:div w:id="1385178069">
      <w:bodyDiv w:val="1"/>
      <w:marLeft w:val="0"/>
      <w:marRight w:val="0"/>
      <w:marTop w:val="0"/>
      <w:marBottom w:val="0"/>
      <w:divBdr>
        <w:top w:val="none" w:sz="0" w:space="0" w:color="auto"/>
        <w:left w:val="none" w:sz="0" w:space="0" w:color="auto"/>
        <w:bottom w:val="none" w:sz="0" w:space="0" w:color="auto"/>
        <w:right w:val="none" w:sz="0" w:space="0" w:color="auto"/>
      </w:divBdr>
    </w:div>
    <w:div w:id="1412124733">
      <w:bodyDiv w:val="1"/>
      <w:marLeft w:val="0"/>
      <w:marRight w:val="0"/>
      <w:marTop w:val="0"/>
      <w:marBottom w:val="0"/>
      <w:divBdr>
        <w:top w:val="none" w:sz="0" w:space="0" w:color="auto"/>
        <w:left w:val="none" w:sz="0" w:space="0" w:color="auto"/>
        <w:bottom w:val="none" w:sz="0" w:space="0" w:color="auto"/>
        <w:right w:val="none" w:sz="0" w:space="0" w:color="auto"/>
      </w:divBdr>
    </w:div>
    <w:div w:id="1442722167">
      <w:bodyDiv w:val="1"/>
      <w:marLeft w:val="0"/>
      <w:marRight w:val="0"/>
      <w:marTop w:val="0"/>
      <w:marBottom w:val="0"/>
      <w:divBdr>
        <w:top w:val="none" w:sz="0" w:space="0" w:color="auto"/>
        <w:left w:val="none" w:sz="0" w:space="0" w:color="auto"/>
        <w:bottom w:val="none" w:sz="0" w:space="0" w:color="auto"/>
        <w:right w:val="none" w:sz="0" w:space="0" w:color="auto"/>
      </w:divBdr>
    </w:div>
    <w:div w:id="1456026705">
      <w:bodyDiv w:val="1"/>
      <w:marLeft w:val="0"/>
      <w:marRight w:val="0"/>
      <w:marTop w:val="0"/>
      <w:marBottom w:val="0"/>
      <w:divBdr>
        <w:top w:val="none" w:sz="0" w:space="0" w:color="auto"/>
        <w:left w:val="none" w:sz="0" w:space="0" w:color="auto"/>
        <w:bottom w:val="none" w:sz="0" w:space="0" w:color="auto"/>
        <w:right w:val="none" w:sz="0" w:space="0" w:color="auto"/>
      </w:divBdr>
    </w:div>
    <w:div w:id="1484007900">
      <w:bodyDiv w:val="1"/>
      <w:marLeft w:val="0"/>
      <w:marRight w:val="0"/>
      <w:marTop w:val="0"/>
      <w:marBottom w:val="0"/>
      <w:divBdr>
        <w:top w:val="none" w:sz="0" w:space="0" w:color="auto"/>
        <w:left w:val="none" w:sz="0" w:space="0" w:color="auto"/>
        <w:bottom w:val="none" w:sz="0" w:space="0" w:color="auto"/>
        <w:right w:val="none" w:sz="0" w:space="0" w:color="auto"/>
      </w:divBdr>
    </w:div>
    <w:div w:id="1751540230">
      <w:bodyDiv w:val="1"/>
      <w:marLeft w:val="0"/>
      <w:marRight w:val="0"/>
      <w:marTop w:val="0"/>
      <w:marBottom w:val="0"/>
      <w:divBdr>
        <w:top w:val="none" w:sz="0" w:space="0" w:color="auto"/>
        <w:left w:val="none" w:sz="0" w:space="0" w:color="auto"/>
        <w:bottom w:val="none" w:sz="0" w:space="0" w:color="auto"/>
        <w:right w:val="none" w:sz="0" w:space="0" w:color="auto"/>
      </w:divBdr>
    </w:div>
    <w:div w:id="1753116058">
      <w:bodyDiv w:val="1"/>
      <w:marLeft w:val="0"/>
      <w:marRight w:val="0"/>
      <w:marTop w:val="0"/>
      <w:marBottom w:val="0"/>
      <w:divBdr>
        <w:top w:val="none" w:sz="0" w:space="0" w:color="auto"/>
        <w:left w:val="none" w:sz="0" w:space="0" w:color="auto"/>
        <w:bottom w:val="none" w:sz="0" w:space="0" w:color="auto"/>
        <w:right w:val="none" w:sz="0" w:space="0" w:color="auto"/>
      </w:divBdr>
    </w:div>
    <w:div w:id="1786266778">
      <w:bodyDiv w:val="1"/>
      <w:marLeft w:val="0"/>
      <w:marRight w:val="0"/>
      <w:marTop w:val="0"/>
      <w:marBottom w:val="0"/>
      <w:divBdr>
        <w:top w:val="none" w:sz="0" w:space="0" w:color="auto"/>
        <w:left w:val="none" w:sz="0" w:space="0" w:color="auto"/>
        <w:bottom w:val="none" w:sz="0" w:space="0" w:color="auto"/>
        <w:right w:val="none" w:sz="0" w:space="0" w:color="auto"/>
      </w:divBdr>
    </w:div>
    <w:div w:id="1786927528">
      <w:bodyDiv w:val="1"/>
      <w:marLeft w:val="0"/>
      <w:marRight w:val="0"/>
      <w:marTop w:val="0"/>
      <w:marBottom w:val="0"/>
      <w:divBdr>
        <w:top w:val="none" w:sz="0" w:space="0" w:color="auto"/>
        <w:left w:val="none" w:sz="0" w:space="0" w:color="auto"/>
        <w:bottom w:val="none" w:sz="0" w:space="0" w:color="auto"/>
        <w:right w:val="none" w:sz="0" w:space="0" w:color="auto"/>
      </w:divBdr>
    </w:div>
    <w:div w:id="1868712211">
      <w:bodyDiv w:val="1"/>
      <w:marLeft w:val="0"/>
      <w:marRight w:val="0"/>
      <w:marTop w:val="0"/>
      <w:marBottom w:val="0"/>
      <w:divBdr>
        <w:top w:val="none" w:sz="0" w:space="0" w:color="auto"/>
        <w:left w:val="none" w:sz="0" w:space="0" w:color="auto"/>
        <w:bottom w:val="none" w:sz="0" w:space="0" w:color="auto"/>
        <w:right w:val="none" w:sz="0" w:space="0" w:color="auto"/>
      </w:divBdr>
    </w:div>
    <w:div w:id="1968200185">
      <w:bodyDiv w:val="1"/>
      <w:marLeft w:val="0"/>
      <w:marRight w:val="0"/>
      <w:marTop w:val="0"/>
      <w:marBottom w:val="0"/>
      <w:divBdr>
        <w:top w:val="none" w:sz="0" w:space="0" w:color="auto"/>
        <w:left w:val="none" w:sz="0" w:space="0" w:color="auto"/>
        <w:bottom w:val="none" w:sz="0" w:space="0" w:color="auto"/>
        <w:right w:val="none" w:sz="0" w:space="0" w:color="auto"/>
      </w:divBdr>
    </w:div>
    <w:div w:id="1982692883">
      <w:bodyDiv w:val="1"/>
      <w:marLeft w:val="0"/>
      <w:marRight w:val="0"/>
      <w:marTop w:val="0"/>
      <w:marBottom w:val="0"/>
      <w:divBdr>
        <w:top w:val="none" w:sz="0" w:space="0" w:color="auto"/>
        <w:left w:val="none" w:sz="0" w:space="0" w:color="auto"/>
        <w:bottom w:val="none" w:sz="0" w:space="0" w:color="auto"/>
        <w:right w:val="none" w:sz="0" w:space="0" w:color="auto"/>
      </w:divBdr>
    </w:div>
    <w:div w:id="200416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reativecommons.org/publicdomain/zero/1.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eativecommons.org/publicdomain/zero/1.0/" TargetMode="External"/><Relationship Id="rId11" Type="http://schemas.openxmlformats.org/officeDocument/2006/relationships/image" Target="media/image4.png"/><Relationship Id="rId5" Type="http://schemas.openxmlformats.org/officeDocument/2006/relationships/hyperlink" Target="https://jcl.law.uiowa.edu/sites/jcl.law.uiowa.edu/files/2023-07/Sharfman_Online.pdf"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Iqbal</dc:creator>
  <cp:keywords/>
  <dc:description/>
  <cp:lastModifiedBy>Umair Iqbal</cp:lastModifiedBy>
  <cp:revision>109</cp:revision>
  <dcterms:created xsi:type="dcterms:W3CDTF">2024-12-21T20:37:00Z</dcterms:created>
  <dcterms:modified xsi:type="dcterms:W3CDTF">2025-01-03T15:10:00Z</dcterms:modified>
</cp:coreProperties>
</file>