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60"/>
        <w:jc w:val="center"/>
      </w:pPr>
      <w:r>
        <w:rPr>
          <w:rFonts w:ascii="Segoe UI Emoji" w:cs="Segoe UI Emoji" w:eastAsia="Segoe UI Emoji" w:hAnsi="Segoe UI Emoji"/>
          <w:color w:val="B8960C"/>
          <w:sz w:val="72"/>
          <w:szCs w:val="72"/>
        </w:rPr>
        <w:t xml:space="preserve">⚖</w:t>
      </w:r>
    </w:p>
    <w:p>
      <w:pPr>
        <w:spacing w:before="120" w:after="80"/>
        <w:jc w:val="center"/>
      </w:pPr>
      <w:r>
        <w:rPr>
          <w:rFonts w:ascii="Arial" w:cs="Arial" w:eastAsia="Arial" w:hAnsi="Arial"/>
          <w:b/>
          <w:bCs/>
          <w:color w:val="1A2E4A"/>
          <w:sz w:val="44"/>
          <w:szCs w:val="44"/>
        </w:rPr>
        <w:t xml:space="preserve">INVICTUS CORPORATE</w:t>
      </w:r>
    </w:p>
    <w:p>
      <w:pPr>
        <w:spacing w:before="120" w:after="80"/>
        <w:jc w:val="center"/>
      </w:pPr>
      <w:r>
        <w:rPr>
          <w:rFonts w:ascii="Arial" w:cs="Arial" w:eastAsia="Arial" w:hAnsi="Arial"/>
          <w:b/>
          <w:bCs/>
          <w:color w:val="1A2E4A"/>
          <w:sz w:val="44"/>
          <w:szCs w:val="44"/>
        </w:rPr>
        <w:t xml:space="preserve">&amp; LEGAL CONSULTANTS</w:t>
      </w:r>
    </w:p>
    <w:p>
      <w:pPr>
        <w:spacing w:before="120" w:after="0"/>
      </w:pPr>
    </w:p>
    <w:p>
      <w:pPr>
        <w:pBdr>
          <w:bottom w:val="single" w:color="B8960C" w:sz="12" w:space="1"/>
        </w:pBdr>
        <w:spacing w:before="200" w:after="200"/>
      </w:pPr>
    </w:p>
    <w:p>
      <w:pPr>
        <w:spacing w:before="80" w:after="0"/>
      </w:pPr>
    </w:p>
    <w:p>
      <w:pPr>
        <w:spacing w:before="60" w:after="60"/>
        <w:jc w:val="center"/>
      </w:pPr>
      <w:r>
        <w:rPr>
          <w:rFonts w:ascii="Arial" w:cs="Arial" w:eastAsia="Arial" w:hAnsi="Arial"/>
          <w:b/>
          <w:bCs/>
          <w:color w:val="B8960C"/>
          <w:sz w:val="24"/>
          <w:szCs w:val="24"/>
        </w:rPr>
        <w:t xml:space="preserve">PRIVACY POLICY &amp; TERMS OF SERVICE</w:t>
      </w:r>
    </w:p>
    <w:p>
      <w:pPr>
        <w:spacing w:before="60" w:after="0"/>
      </w:pPr>
    </w:p>
    <w:p>
      <w:pPr>
        <w:spacing w:before="40" w:after="40"/>
        <w:jc w:val="center"/>
      </w:pPr>
      <w:r>
        <w:rPr>
          <w:rFonts w:ascii="Arial" w:cs="Arial" w:eastAsia="Arial" w:hAnsi="Arial"/>
          <w:i/>
          <w:iCs/>
          <w:color w:val="555555"/>
          <w:sz w:val="20"/>
          <w:szCs w:val="20"/>
        </w:rPr>
        <w:t xml:space="preserve">Website: https://iclc.com.pk</w:t>
      </w:r>
    </w:p>
    <w:p>
      <w:pPr>
        <w:spacing w:before="40" w:after="40"/>
        <w:jc w:val="center"/>
      </w:pPr>
      <w:r>
        <w:rPr>
          <w:rFonts w:ascii="Arial" w:cs="Arial" w:eastAsia="Arial" w:hAnsi="Arial"/>
          <w:i/>
          <w:iCs/>
          <w:color w:val="555555"/>
          <w:sz w:val="20"/>
          <w:szCs w:val="20"/>
        </w:rPr>
        <w:t xml:space="preserve">Effective Date: March 13, 2026</w:t>
      </w:r>
    </w:p>
    <w:p>
      <w:pPr>
        <w:spacing w:before="40" w:after="40"/>
        <w:jc w:val="center"/>
      </w:pPr>
      <w:r>
        <w:rPr>
          <w:rFonts w:ascii="Arial" w:cs="Arial" w:eastAsia="Arial" w:hAnsi="Arial"/>
          <w:i/>
          <w:iCs/>
          <w:color w:val="555555"/>
          <w:sz w:val="20"/>
          <w:szCs w:val="20"/>
        </w:rPr>
        <w:t xml:space="preserve">Version 1.0</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60C" w:sz="6"/>
              <w:left w:val="single" w:color="B8960C" w:sz="6"/>
              <w:bottom w:val="single" w:color="B8960C" w:sz="6"/>
              <w:right w:val="single" w:color="B8960C" w:sz="6"/>
            </w:tcBorders>
            <w:shd w:fill="FFFBF0" w:val="clear"/>
            <w:tcMar>
              <w:top w:type="dxa" w:w="160"/>
              <w:left w:type="dxa" w:w="240"/>
              <w:bottom w:type="dxa" w:w="160"/>
              <w:right w:type="dxa" w:w="240"/>
            </w:tcMar>
          </w:tcPr>
          <w:p>
            <w:pPr>
              <w:spacing w:before="60" w:after="60"/>
            </w:pPr>
            <w:r>
              <w:rPr>
                <w:rFonts w:ascii="Arial" w:cs="Arial" w:eastAsia="Arial" w:hAnsi="Arial"/>
                <w:color w:val="4A3800"/>
                <w:sz w:val="21"/>
                <w:szCs w:val="21"/>
              </w:rPr>
              <w:t xml:space="preserve">📌 These documents govern your use of our website and the professional services offered by</w:t>
            </w:r>
          </w:p>
          <w:p>
            <w:pPr>
              <w:spacing w:before="60" w:after="60"/>
            </w:pPr>
            <w:r>
              <w:rPr>
                <w:rFonts w:ascii="Arial" w:cs="Arial" w:eastAsia="Arial" w:hAnsi="Arial"/>
                <w:color w:val="4A3800"/>
                <w:sz w:val="21"/>
                <w:szCs w:val="21"/>
              </w:rPr>
              <w:t xml:space="preserve">    Invictus Corporate &amp; Legal Consultants. Please read them carefully before proceeding.</w:t>
            </w:r>
          </w:p>
          <w:p>
            <w:pPr>
              <w:spacing w:before="60" w:after="60"/>
            </w:pPr>
            <w:r>
              <w:rPr>
                <w:rFonts w:ascii="Arial" w:cs="Arial" w:eastAsia="Arial" w:hAnsi="Arial"/>
                <w:color w:val="4A3800"/>
                <w:sz w:val="21"/>
                <w:szCs w:val="21"/>
              </w:rPr>
              <w:t xml:space="preserve"/>
            </w:r>
          </w:p>
          <w:p>
            <w:pPr>
              <w:spacing w:before="60" w:after="60"/>
            </w:pPr>
            <w:r>
              <w:rPr>
                <w:rFonts w:ascii="Arial" w:cs="Arial" w:eastAsia="Arial" w:hAnsi="Arial"/>
                <w:color w:val="4A3800"/>
                <w:sz w:val="21"/>
                <w:szCs w:val="21"/>
              </w:rPr>
              <w:t xml:space="preserve">    Jurisdiction: Islamic Republic of Pakistan</w:t>
            </w:r>
          </w:p>
          <w:p>
            <w:pPr>
              <w:spacing w:before="60" w:after="60"/>
            </w:pPr>
            <w:r>
              <w:rPr>
                <w:rFonts w:ascii="Arial" w:cs="Arial" w:eastAsia="Arial" w:hAnsi="Arial"/>
                <w:color w:val="4A3800"/>
                <w:sz w:val="21"/>
                <w:szCs w:val="21"/>
              </w:rPr>
              <w:t xml:space="preserve">    Governing Law: Pakistan Electronic Crimes Act 2016 | PECA | PPC | Contract Act 1872</w:t>
            </w:r>
          </w:p>
        </w:tc>
      </w:tr>
    </w:tbl>
    <w:p>
      <w:pPr>
        <w:spacing w:before="400" w:after="0"/>
      </w:pPr>
    </w:p>
    <w:p>
      <w:r>
        <w:br w:type="page"/>
      </w:r>
    </w:p>
    <w:p>
      <w:pPr>
        <w:pStyle w:val="Heading1"/>
        <w:pBdr>
          <w:bottom w:val="single" w:color="B8960C" w:sz="8" w:space="4"/>
        </w:pBdr>
        <w:spacing w:before="400" w:after="160"/>
      </w:pPr>
      <w:r>
        <w:rPr>
          <w:rFonts w:ascii="Arial" w:cs="Arial" w:eastAsia="Arial" w:hAnsi="Arial"/>
          <w:b/>
          <w:bCs/>
          <w:color w:val="1A2E4A"/>
          <w:sz w:val="34"/>
          <w:szCs w:val="34"/>
        </w:rPr>
        <w:t xml:space="preserve">PART I — PRIVACY POLICY</w:t>
      </w:r>
    </w:p>
    <w:p>
      <w:pPr>
        <w:spacing w:before="60" w:after="80" w:line="320"/>
        <w:jc w:val="both"/>
      </w:pPr>
      <w:r>
        <w:rPr>
          <w:rFonts w:ascii="Arial" w:cs="Arial" w:eastAsia="Arial" w:hAnsi="Arial"/>
          <w:color w:val="2C2C2C"/>
          <w:sz w:val="21"/>
          <w:szCs w:val="21"/>
        </w:rPr>
        <w:t xml:space="preserve">At Invictus Corporate &amp; Legal Consultants ("Invictus", "we", "our", or "the Firm"), we are deeply committed to safeguarding the privacy and confidentiality of every individual and entity that visits our website or engages with our professional services. This Privacy Policy explains, in transparent and unambiguous terms, what information we collect, why we collect it, how we use it, and the rights you hold with respect to your personal data.</w:t>
      </w:r>
    </w:p>
    <w:p>
      <w:pPr>
        <w:spacing w:before="80" w:after="0"/>
      </w:pPr>
    </w:p>
    <w:p>
      <w:pPr>
        <w:pStyle w:val="Heading2"/>
        <w:spacing w:before="300" w:after="120"/>
      </w:pPr>
      <w:r>
        <w:rPr>
          <w:rFonts w:ascii="Arial" w:cs="Arial" w:eastAsia="Arial" w:hAnsi="Arial"/>
          <w:b/>
          <w:bCs/>
          <w:color w:val="1A2E4A"/>
          <w:sz w:val="26"/>
          <w:szCs w:val="26"/>
        </w:rPr>
        <w:t xml:space="preserve">1.  Who We Are</w:t>
      </w:r>
    </w:p>
    <w:p>
      <w:pPr>
        <w:spacing w:before="60" w:after="80" w:line="320"/>
        <w:jc w:val="both"/>
      </w:pPr>
      <w:r>
        <w:rPr>
          <w:rFonts w:ascii="Arial" w:cs="Arial" w:eastAsia="Arial" w:hAnsi="Arial"/>
          <w:color w:val="2C2C2C"/>
          <w:sz w:val="21"/>
          <w:szCs w:val="21"/>
        </w:rPr>
        <w:t xml:space="preserve">Invictus Corporate &amp; Legal Consultants is a legal advisory and corporate consultancy firm registered in Pakistan, providing professional services across four core practice areas: (i) Corporate Law &amp; Advisory; (ii) Litigation &amp; Dispute Resolution; (iii) Compliance &amp; Regulatory Consultancy; and (iv) Contract Drafting &amp; Review. Our website (the "Website") serves as a digital gateway through which clients, prospective clients, and stakeholders may learn about our services, make inquiries, and access general legal information.</w:t>
      </w:r>
    </w:p>
    <w:p>
      <w:pPr>
        <w:spacing w:before="60" w:after="80" w:line="320"/>
        <w:jc w:val="both"/>
      </w:pPr>
      <w:r>
        <w:rPr>
          <w:rFonts w:ascii="Arial" w:cs="Arial" w:eastAsia="Arial" w:hAnsi="Arial"/>
          <w:color w:val="2C2C2C"/>
          <w:sz w:val="21"/>
          <w:szCs w:val="21"/>
        </w:rPr>
        <w:t xml:space="preserve">As a firm bound by the professional conduct rules of the Pakistan Bar Council and applicable statutory law, we treat the handling of your personal information as a matter of professional and ethical responsibility — not merely a legal compliance exercise.</w:t>
      </w:r>
    </w:p>
    <w:p>
      <w:pPr>
        <w:pStyle w:val="Heading2"/>
        <w:spacing w:before="300" w:after="120"/>
      </w:pPr>
      <w:r>
        <w:rPr>
          <w:rFonts w:ascii="Arial" w:cs="Arial" w:eastAsia="Arial" w:hAnsi="Arial"/>
          <w:b/>
          <w:bCs/>
          <w:color w:val="1A2E4A"/>
          <w:sz w:val="26"/>
          <w:szCs w:val="26"/>
        </w:rPr>
        <w:t xml:space="preserve">2.  Information We Collect</w:t>
      </w:r>
    </w:p>
    <w:p>
      <w:pPr>
        <w:spacing w:before="60" w:after="80" w:line="320"/>
        <w:jc w:val="both"/>
      </w:pPr>
      <w:r>
        <w:rPr>
          <w:rFonts w:ascii="Arial" w:cs="Arial" w:eastAsia="Arial" w:hAnsi="Arial"/>
          <w:color w:val="2C2C2C"/>
          <w:sz w:val="21"/>
          <w:szCs w:val="21"/>
        </w:rPr>
        <w:t xml:space="preserve">We collect information in two primary ways: directly from you, and automatically through your interaction with our Website.</w:t>
      </w:r>
    </w:p>
    <w:p>
      <w:pPr>
        <w:pStyle w:val="Heading3"/>
        <w:spacing w:before="200" w:after="80"/>
      </w:pPr>
      <w:r>
        <w:rPr>
          <w:rFonts w:ascii="Arial" w:cs="Arial" w:eastAsia="Arial" w:hAnsi="Arial"/>
          <w:b/>
          <w:bCs/>
          <w:color w:val="B8960C"/>
          <w:sz w:val="22"/>
          <w:szCs w:val="22"/>
        </w:rPr>
        <w:t xml:space="preserve">2.1  Information You Provide Directly</w:t>
      </w:r>
    </w:p>
    <w:p>
      <w:pPr>
        <w:spacing w:before="60" w:after="80" w:line="320"/>
        <w:jc w:val="both"/>
      </w:pPr>
      <w:r>
        <w:rPr>
          <w:rFonts w:ascii="Arial" w:cs="Arial" w:eastAsia="Arial" w:hAnsi="Arial"/>
          <w:color w:val="2C2C2C"/>
          <w:sz w:val="21"/>
          <w:szCs w:val="21"/>
        </w:rPr>
        <w:t xml:space="preserve">When you voluntarily interact with our Website — whether through a contact form, consultation request, newsletter subscription, or direct communication — we may collect:</w:t>
      </w:r>
    </w:p>
    <w:p>
      <w:pPr>
        <w:pStyle w:val="ListParagraph"/>
        <w:numPr>
          <w:ilvl w:val="0"/>
          <w:numId w:val="2"/>
        </w:numPr>
        <w:spacing w:before="40" w:after="40"/>
      </w:pPr>
      <w:r>
        <w:rPr>
          <w:rFonts w:ascii="Arial" w:cs="Arial" w:eastAsia="Arial" w:hAnsi="Arial"/>
          <w:color w:val="2C2C2C"/>
          <w:sz w:val="21"/>
          <w:szCs w:val="21"/>
        </w:rPr>
        <w:t xml:space="preserve">Full name and professional designation</w:t>
      </w:r>
    </w:p>
    <w:p>
      <w:pPr>
        <w:pStyle w:val="ListParagraph"/>
        <w:numPr>
          <w:ilvl w:val="0"/>
          <w:numId w:val="2"/>
        </w:numPr>
        <w:spacing w:before="40" w:after="40"/>
      </w:pPr>
      <w:r>
        <w:rPr>
          <w:rFonts w:ascii="Arial" w:cs="Arial" w:eastAsia="Arial" w:hAnsi="Arial"/>
          <w:color w:val="2C2C2C"/>
          <w:sz w:val="21"/>
          <w:szCs w:val="21"/>
        </w:rPr>
        <w:t xml:space="preserve">Email address and telephone number</w:t>
      </w:r>
    </w:p>
    <w:p>
      <w:pPr>
        <w:pStyle w:val="ListParagraph"/>
        <w:numPr>
          <w:ilvl w:val="0"/>
          <w:numId w:val="2"/>
        </w:numPr>
        <w:spacing w:before="40" w:after="40"/>
      </w:pPr>
      <w:r>
        <w:rPr>
          <w:rFonts w:ascii="Arial" w:cs="Arial" w:eastAsia="Arial" w:hAnsi="Arial"/>
          <w:color w:val="2C2C2C"/>
          <w:sz w:val="21"/>
          <w:szCs w:val="21"/>
        </w:rPr>
        <w:t xml:space="preserve">Company name and registered business address</w:t>
      </w:r>
    </w:p>
    <w:p>
      <w:pPr>
        <w:pStyle w:val="ListParagraph"/>
        <w:numPr>
          <w:ilvl w:val="0"/>
          <w:numId w:val="2"/>
        </w:numPr>
        <w:spacing w:before="40" w:after="40"/>
      </w:pPr>
      <w:r>
        <w:rPr>
          <w:rFonts w:ascii="Arial" w:cs="Arial" w:eastAsia="Arial" w:hAnsi="Arial"/>
          <w:color w:val="2C2C2C"/>
          <w:sz w:val="21"/>
          <w:szCs w:val="21"/>
        </w:rPr>
        <w:t xml:space="preserve">Nature of your legal inquiry or matter</w:t>
      </w:r>
    </w:p>
    <w:p>
      <w:pPr>
        <w:pStyle w:val="ListParagraph"/>
        <w:numPr>
          <w:ilvl w:val="0"/>
          <w:numId w:val="2"/>
        </w:numPr>
        <w:spacing w:before="40" w:after="40"/>
      </w:pPr>
      <w:r>
        <w:rPr>
          <w:rFonts w:ascii="Arial" w:cs="Arial" w:eastAsia="Arial" w:hAnsi="Arial"/>
          <w:color w:val="2C2C2C"/>
          <w:sz w:val="21"/>
          <w:szCs w:val="21"/>
        </w:rPr>
        <w:t xml:space="preserve">Any documents, correspondence, or attachments you submit to us</w:t>
      </w:r>
    </w:p>
    <w:p>
      <w:pPr>
        <w:pStyle w:val="ListParagraph"/>
        <w:numPr>
          <w:ilvl w:val="0"/>
          <w:numId w:val="2"/>
        </w:numPr>
        <w:spacing w:before="40" w:after="40"/>
      </w:pPr>
      <w:r>
        <w:rPr>
          <w:rFonts w:ascii="Arial" w:cs="Arial" w:eastAsia="Arial" w:hAnsi="Arial"/>
          <w:color w:val="2C2C2C"/>
          <w:sz w:val="21"/>
          <w:szCs w:val="21"/>
        </w:rPr>
        <w:t xml:space="preserve">Billing and payment information, where applicable</w:t>
      </w:r>
    </w:p>
    <w:p>
      <w:pPr>
        <w:numPr>
          <w:ilvl w:val="0"/>
          <w:numId w:val="1"/>
        </w:numPr>
        <w:spacing w:before="40" w:after="40"/>
      </w:pPr>
      <w:r>
        <w:rPr>
          <w:rFonts w:ascii="Arial" w:cs="Arial" w:eastAsia="Arial" w:hAnsi="Arial"/>
          <w:color w:val="2C2C2C"/>
          <w:sz w:val="21"/>
          <w:szCs w:val="21"/>
        </w:rPr>
        <w:t xml:space="preserve">Preferred consultation date, time slot, and mode of meeting (in-person, video call, or telephone)</w:t>
      </w:r>
    </w:p>
    <w:p>
      <w:pPr>
        <w:numPr>
          <w:ilvl w:val="0"/>
          <w:numId w:val="1"/>
        </w:numPr>
        <w:spacing w:before="40" w:after="40"/>
      </w:pPr>
      <w:r>
        <w:rPr>
          <w:rFonts w:ascii="Arial" w:cs="Arial" w:eastAsia="Arial" w:hAnsi="Arial"/>
          <w:color w:val="2C2C2C"/>
          <w:sz w:val="21"/>
          <w:szCs w:val="21"/>
        </w:rPr>
        <w:t xml:space="preserve">Brief description of the legal matter for which consultation is sought</w:t>
      </w:r>
    </w:p>
    <w:p>
      <w:pPr>
        <w:numPr>
          <w:ilvl w:val="0"/>
          <w:numId w:val="1"/>
        </w:numPr>
        <w:spacing w:before="40" w:after="40"/>
      </w:pPr>
      <w:r>
        <w:rPr>
          <w:rFonts w:ascii="Arial" w:cs="Arial" w:eastAsia="Arial" w:hAnsi="Arial"/>
          <w:color w:val="2C2C2C"/>
          <w:sz w:val="21"/>
          <w:szCs w:val="21"/>
        </w:rPr>
        <w:t xml:space="preserve">Booking confirmation and reminder communication preferences (email or SMS)</w:t>
      </w:r>
    </w:p>
    <w:p>
      <w:pPr>
        <w:spacing w:before="60" w:after="0"/>
      </w:pPr>
    </w:p>
    <w:p>
      <w:pPr>
        <w:pStyle w:val="Heading3"/>
        <w:spacing w:before="200" w:after="80"/>
      </w:pPr>
      <w:r>
        <w:rPr>
          <w:rFonts w:ascii="Arial" w:cs="Arial" w:eastAsia="Arial" w:hAnsi="Arial"/>
          <w:b/>
          <w:bCs/>
          <w:color w:val="B8960C"/>
          <w:sz w:val="22"/>
          <w:szCs w:val="22"/>
        </w:rPr>
        <w:t xml:space="preserve">2.1A  Online Consultation Booking — Special Notice</w:t>
      </w:r>
    </w:p>
    <w:p>
      <w:pPr>
        <w:spacing w:before="60" w:after="80" w:line="320"/>
        <w:jc w:val="both"/>
      </w:pPr>
      <w:r>
        <w:rPr>
          <w:rFonts w:ascii="Arial" w:cs="Arial" w:eastAsia="Arial" w:hAnsi="Arial"/>
          <w:color w:val="2C2C2C"/>
          <w:sz w:val="21"/>
          <w:szCs w:val="21"/>
        </w:rPr>
        <w:t xml:space="preserve">Our Website features an online consultation booking facility through which prospective and existing clients may schedule appointments with our legal practitioners. This facility is designed to be secure and user-friendly; however, the following important conditions apply to its use:</w:t>
      </w:r>
    </w:p>
    <w:p>
      <w:pPr>
        <w:numPr>
          <w:ilvl w:val="0"/>
          <w:numId w:val="1"/>
        </w:numPr>
        <w:spacing w:before="40" w:after="40"/>
      </w:pPr>
      <w:r>
        <w:rPr>
          <w:rFonts w:ascii="Arial" w:cs="Arial" w:eastAsia="Arial" w:hAnsi="Arial"/>
          <w:color w:val="2C2C2C"/>
          <w:sz w:val="21"/>
          <w:szCs w:val="21"/>
        </w:rPr>
        <w:t xml:space="preserve">Booking a consultation does not itself constitute the establishment of an attorney-client relationship. A formal engagement commences only upon execution of a Client Engagement Letter.</w:t>
      </w:r>
    </w:p>
    <w:p>
      <w:pPr>
        <w:numPr>
          <w:ilvl w:val="0"/>
          <w:numId w:val="1"/>
        </w:numPr>
        <w:spacing w:before="40" w:after="40"/>
      </w:pPr>
      <w:r>
        <w:rPr>
          <w:rFonts w:ascii="Arial" w:cs="Arial" w:eastAsia="Arial" w:hAnsi="Arial"/>
          <w:color w:val="2C2C2C"/>
          <w:sz w:val="21"/>
          <w:szCs w:val="21"/>
        </w:rPr>
        <w:t xml:space="preserve">Personal data submitted through the booking system is used exclusively to schedule and manage your appointment. It will not be used for marketing or shared with third parties without your consent.</w:t>
      </w:r>
    </w:p>
    <w:p>
      <w:pPr>
        <w:numPr>
          <w:ilvl w:val="0"/>
          <w:numId w:val="1"/>
        </w:numPr>
        <w:spacing w:before="40" w:after="40"/>
      </w:pPr>
      <w:r>
        <w:rPr>
          <w:rFonts w:ascii="Arial" w:cs="Arial" w:eastAsia="Arial" w:hAnsi="Arial"/>
          <w:color w:val="2C2C2C"/>
          <w:sz w:val="21"/>
          <w:szCs w:val="21"/>
        </w:rPr>
        <w:t xml:space="preserve">Invictus may conduct a preliminary conflicts-of-interest check using your name and matter description prior to confirming your booking. If a conflict is identified, we will inform you promptly and your data will be securely deleted.</w:t>
      </w:r>
    </w:p>
    <w:p>
      <w:pPr>
        <w:numPr>
          <w:ilvl w:val="0"/>
          <w:numId w:val="1"/>
        </w:numPr>
        <w:spacing w:before="40" w:after="40"/>
      </w:pPr>
      <w:r>
        <w:rPr>
          <w:rFonts w:ascii="Arial" w:cs="Arial" w:eastAsia="Arial" w:hAnsi="Arial"/>
          <w:color w:val="2C2C2C"/>
          <w:sz w:val="21"/>
          <w:szCs w:val="21"/>
        </w:rPr>
        <w:t xml:space="preserve">Booking confirmations and reminders will be sent via email and/or SMS. You may opt out of reminder communications at any time by contacting us at official@iclc.com.pk.</w:t>
      </w:r>
    </w:p>
    <w:p>
      <w:pPr>
        <w:numPr>
          <w:ilvl w:val="0"/>
          <w:numId w:val="1"/>
        </w:numPr>
        <w:spacing w:before="40" w:after="40"/>
      </w:pPr>
      <w:r>
        <w:rPr>
          <w:rFonts w:ascii="Arial" w:cs="Arial" w:eastAsia="Arial" w:hAnsi="Arial"/>
          <w:color w:val="2C2C2C"/>
          <w:sz w:val="21"/>
          <w:szCs w:val="21"/>
        </w:rPr>
        <w:t xml:space="preserve">Video consultation sessions are conducted over encrypted platforms. Invictus does not record consultations without the express prior written consent of the client. Any agreed recording is treated as a confidential client document.</w:t>
      </w:r>
    </w:p>
    <w:p>
      <w:pPr>
        <w:numPr>
          <w:ilvl w:val="0"/>
          <w:numId w:val="1"/>
        </w:numPr>
        <w:spacing w:before="40" w:after="40"/>
      </w:pPr>
      <w:r>
        <w:rPr>
          <w:rFonts w:ascii="Arial" w:cs="Arial" w:eastAsia="Arial" w:hAnsi="Arial"/>
          <w:color w:val="2C2C2C"/>
          <w:sz w:val="21"/>
          <w:szCs w:val="21"/>
        </w:rPr>
        <w:t xml:space="preserve">Cancellations must be made at least 24 hours in advance. Repeated no-shows may result in the suspension of online booking privileges at the discretion of the Firm.</w:t>
      </w:r>
    </w:p>
    <w:p>
      <w:pPr>
        <w:spacing w:before="60" w:after="0"/>
      </w:pPr>
    </w:p>
    <w:p>
      <w:pPr>
        <w:pStyle w:val="Heading3"/>
        <w:spacing w:before="200" w:after="80"/>
      </w:pPr>
      <w:r>
        <w:rPr>
          <w:rFonts w:ascii="Arial" w:cs="Arial" w:eastAsia="Arial" w:hAnsi="Arial"/>
          <w:b/>
          <w:bCs/>
          <w:color w:val="B8960C"/>
          <w:sz w:val="22"/>
          <w:szCs w:val="22"/>
        </w:rPr>
        <w:t xml:space="preserve">2.2  Information Collected Automatically</w:t>
      </w:r>
    </w:p>
    <w:p>
      <w:pPr>
        <w:spacing w:before="60" w:after="80" w:line="320"/>
        <w:jc w:val="both"/>
      </w:pPr>
      <w:r>
        <w:rPr>
          <w:rFonts w:ascii="Arial" w:cs="Arial" w:eastAsia="Arial" w:hAnsi="Arial"/>
          <w:color w:val="2C2C2C"/>
          <w:sz w:val="21"/>
          <w:szCs w:val="21"/>
        </w:rPr>
        <w:t xml:space="preserve">Like most professional websites, our Website automatically collects certain technical data when you visit. This may include:</w:t>
      </w:r>
    </w:p>
    <w:p>
      <w:pPr>
        <w:pStyle w:val="ListParagraph"/>
        <w:numPr>
          <w:ilvl w:val="0"/>
          <w:numId w:val="2"/>
        </w:numPr>
        <w:spacing w:before="40" w:after="40"/>
      </w:pPr>
      <w:r>
        <w:rPr>
          <w:rFonts w:ascii="Arial" w:cs="Arial" w:eastAsia="Arial" w:hAnsi="Arial"/>
          <w:color w:val="2C2C2C"/>
          <w:sz w:val="21"/>
          <w:szCs w:val="21"/>
        </w:rPr>
        <w:t xml:space="preserve">IP address and approximate geographic location</w:t>
      </w:r>
    </w:p>
    <w:p>
      <w:pPr>
        <w:pStyle w:val="ListParagraph"/>
        <w:numPr>
          <w:ilvl w:val="0"/>
          <w:numId w:val="2"/>
        </w:numPr>
        <w:spacing w:before="40" w:after="40"/>
      </w:pPr>
      <w:r>
        <w:rPr>
          <w:rFonts w:ascii="Arial" w:cs="Arial" w:eastAsia="Arial" w:hAnsi="Arial"/>
          <w:color w:val="2C2C2C"/>
          <w:sz w:val="21"/>
          <w:szCs w:val="21"/>
        </w:rPr>
        <w:t xml:space="preserve">Browser type, version, and operating system</w:t>
      </w:r>
    </w:p>
    <w:p>
      <w:pPr>
        <w:pStyle w:val="ListParagraph"/>
        <w:numPr>
          <w:ilvl w:val="0"/>
          <w:numId w:val="2"/>
        </w:numPr>
        <w:spacing w:before="40" w:after="40"/>
      </w:pPr>
      <w:r>
        <w:rPr>
          <w:rFonts w:ascii="Arial" w:cs="Arial" w:eastAsia="Arial" w:hAnsi="Arial"/>
          <w:color w:val="2C2C2C"/>
          <w:sz w:val="21"/>
          <w:szCs w:val="21"/>
        </w:rPr>
        <w:t xml:space="preserve">Pages visited, time spent, and navigation paths</w:t>
      </w:r>
    </w:p>
    <w:p>
      <w:pPr>
        <w:pStyle w:val="ListParagraph"/>
        <w:numPr>
          <w:ilvl w:val="0"/>
          <w:numId w:val="2"/>
        </w:numPr>
        <w:spacing w:before="40" w:after="40"/>
      </w:pPr>
      <w:r>
        <w:rPr>
          <w:rFonts w:ascii="Arial" w:cs="Arial" w:eastAsia="Arial" w:hAnsi="Arial"/>
          <w:color w:val="2C2C2C"/>
          <w:sz w:val="21"/>
          <w:szCs w:val="21"/>
        </w:rPr>
        <w:t xml:space="preserve">Referring website or search query that brought you to us</w:t>
      </w:r>
    </w:p>
    <w:p>
      <w:pPr>
        <w:pStyle w:val="ListParagraph"/>
        <w:numPr>
          <w:ilvl w:val="0"/>
          <w:numId w:val="2"/>
        </w:numPr>
        <w:spacing w:before="40" w:after="40"/>
      </w:pPr>
      <w:r>
        <w:rPr>
          <w:rFonts w:ascii="Arial" w:cs="Arial" w:eastAsia="Arial" w:hAnsi="Arial"/>
          <w:color w:val="2C2C2C"/>
          <w:sz w:val="21"/>
          <w:szCs w:val="21"/>
        </w:rPr>
        <w:t xml:space="preserve">Device identifiers and cookie data (see Section 7)</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4"/>
              <w:left w:val="single" w:color="1A2E4A" w:sz="4"/>
              <w:bottom w:val="single" w:color="1A2E4A" w:sz="4"/>
              <w:right w:val="single" w:color="1A2E4A" w:sz="4"/>
            </w:tcBorders>
            <w:shd w:fill="EEF2F7" w:val="clear"/>
            <w:tcMar>
              <w:top w:type="dxa" w:w="160"/>
              <w:left w:type="dxa" w:w="240"/>
              <w:bottom w:type="dxa" w:w="160"/>
              <w:right w:type="dxa" w:w="240"/>
            </w:tcMar>
          </w:tcPr>
          <w:p>
            <w:pPr>
              <w:spacing w:before="60" w:after="60"/>
            </w:pPr>
            <w:r>
              <w:rPr>
                <w:rFonts w:ascii="Arial" w:cs="Arial" w:eastAsia="Arial" w:hAnsi="Arial"/>
                <w:b/>
                <w:bCs/>
                <w:color w:val="1A2E4A"/>
                <w:sz w:val="21"/>
                <w:szCs w:val="21"/>
              </w:rPr>
              <w:t xml:space="preserve">⚖  Attorney-Client Privilege Notice</w:t>
            </w:r>
          </w:p>
          <w:p>
            <w:pPr>
              <w:spacing w:before="60" w:after="60"/>
            </w:pPr>
            <w:r>
              <w:rPr>
                <w:rFonts w:ascii="Arial" w:cs="Arial" w:eastAsia="Arial" w:hAnsi="Arial"/>
                <w:b w:val="false"/>
                <w:bCs w:val="false"/>
                <w:color w:val="1A2E4A"/>
                <w:sz w:val="21"/>
                <w:szCs w:val="21"/>
              </w:rPr>
              <w:t xml:space="preserve"/>
            </w:r>
          </w:p>
          <w:p>
            <w:pPr>
              <w:spacing w:before="60" w:after="60"/>
            </w:pPr>
            <w:r>
              <w:rPr>
                <w:rFonts w:ascii="Arial" w:cs="Arial" w:eastAsia="Arial" w:hAnsi="Arial"/>
                <w:b w:val="false"/>
                <w:bCs w:val="false"/>
                <w:color w:val="1A2E4A"/>
                <w:sz w:val="21"/>
                <w:szCs w:val="21"/>
              </w:rPr>
              <w:t xml:space="preserve">   Any information you share with us in the context of a legal inquiry or instruction</w:t>
            </w:r>
          </w:p>
          <w:p>
            <w:pPr>
              <w:spacing w:before="60" w:after="60"/>
            </w:pPr>
            <w:r>
              <w:rPr>
                <w:rFonts w:ascii="Arial" w:cs="Arial" w:eastAsia="Arial" w:hAnsi="Arial"/>
                <w:b w:val="false"/>
                <w:bCs w:val="false"/>
                <w:color w:val="1A2E4A"/>
                <w:sz w:val="21"/>
                <w:szCs w:val="21"/>
              </w:rPr>
              <w:t xml:space="preserve">   may be protected under attorney-client privilege. We maintain strict protocols</w:t>
            </w:r>
          </w:p>
          <w:p>
            <w:pPr>
              <w:spacing w:before="60" w:after="60"/>
            </w:pPr>
            <w:r>
              <w:rPr>
                <w:rFonts w:ascii="Arial" w:cs="Arial" w:eastAsia="Arial" w:hAnsi="Arial"/>
                <w:b w:val="false"/>
                <w:bCs w:val="false"/>
                <w:color w:val="1A2E4A"/>
                <w:sz w:val="21"/>
                <w:szCs w:val="21"/>
              </w:rPr>
              <w:t xml:space="preserve">   to ensure such communications are handled with the highest level of confidentiality.</w:t>
            </w:r>
          </w:p>
          <w:p>
            <w:pPr>
              <w:spacing w:before="60" w:after="60"/>
            </w:pPr>
            <w:r>
              <w:rPr>
                <w:rFonts w:ascii="Arial" w:cs="Arial" w:eastAsia="Arial" w:hAnsi="Arial"/>
                <w:b w:val="false"/>
                <w:bCs w:val="false"/>
                <w:color w:val="1A2E4A"/>
                <w:sz w:val="21"/>
                <w:szCs w:val="21"/>
              </w:rPr>
              <w:t xml:space="preserve">   Privilege is not waived by transmission via our Website's contact form.</w:t>
            </w:r>
          </w:p>
        </w:tc>
      </w:tr>
    </w:tbl>
    <w:p>
      <w:pPr>
        <w:pStyle w:val="Heading2"/>
        <w:spacing w:before="300" w:after="120"/>
      </w:pPr>
      <w:r>
        <w:rPr>
          <w:rFonts w:ascii="Arial" w:cs="Arial" w:eastAsia="Arial" w:hAnsi="Arial"/>
          <w:b/>
          <w:bCs/>
          <w:color w:val="1A2E4A"/>
          <w:sz w:val="26"/>
          <w:szCs w:val="26"/>
        </w:rPr>
        <w:t xml:space="preserve">3.  How We Use Your Information</w:t>
      </w:r>
    </w:p>
    <w:p>
      <w:pPr>
        <w:spacing w:before="60" w:after="80" w:line="320"/>
        <w:jc w:val="both"/>
      </w:pPr>
      <w:r>
        <w:rPr>
          <w:rFonts w:ascii="Arial" w:cs="Arial" w:eastAsia="Arial" w:hAnsi="Arial"/>
          <w:color w:val="2C2C2C"/>
          <w:sz w:val="21"/>
          <w:szCs w:val="21"/>
        </w:rPr>
        <w:t xml:space="preserve">Invictus uses your personal information solely for legitimate professional purposes. We do not engage in data broking, targeted advertising, or any commercial use of your data unrelated to the provision of legal services. Specific uses include:</w:t>
      </w:r>
    </w:p>
    <w:p>
      <w:pPr>
        <w:pStyle w:val="ListParagraph"/>
        <w:numPr>
          <w:ilvl w:val="0"/>
          <w:numId w:val="3"/>
        </w:numPr>
        <w:spacing w:before="40" w:after="40"/>
      </w:pPr>
      <w:r>
        <w:rPr>
          <w:rFonts w:ascii="Arial" w:cs="Arial" w:eastAsia="Arial" w:hAnsi="Arial"/>
          <w:color w:val="2C2C2C"/>
          <w:sz w:val="21"/>
          <w:szCs w:val="21"/>
        </w:rPr>
        <w:t xml:space="preserve">Responding to your inquiries and providing legal consultation</w:t>
      </w:r>
    </w:p>
    <w:p>
      <w:pPr>
        <w:pStyle w:val="ListParagraph"/>
        <w:numPr>
          <w:ilvl w:val="0"/>
          <w:numId w:val="3"/>
        </w:numPr>
        <w:spacing w:before="40" w:after="40"/>
      </w:pPr>
      <w:r>
        <w:rPr>
          <w:rFonts w:ascii="Arial" w:cs="Arial" w:eastAsia="Arial" w:hAnsi="Arial"/>
          <w:color w:val="2C2C2C"/>
          <w:sz w:val="21"/>
          <w:szCs w:val="21"/>
        </w:rPr>
        <w:t xml:space="preserve">Performing conflicts-of-interest checks before accepting instructions</w:t>
      </w:r>
    </w:p>
    <w:p>
      <w:pPr>
        <w:pStyle w:val="ListParagraph"/>
        <w:numPr>
          <w:ilvl w:val="0"/>
          <w:numId w:val="3"/>
        </w:numPr>
        <w:spacing w:before="40" w:after="40"/>
      </w:pPr>
      <w:r>
        <w:rPr>
          <w:rFonts w:ascii="Arial" w:cs="Arial" w:eastAsia="Arial" w:hAnsi="Arial"/>
          <w:color w:val="2C2C2C"/>
          <w:sz w:val="21"/>
          <w:szCs w:val="21"/>
        </w:rPr>
        <w:t xml:space="preserve">Preparing and delivering legal advice, opinions, and documentation</w:t>
      </w:r>
    </w:p>
    <w:p>
      <w:pPr>
        <w:pStyle w:val="ListParagraph"/>
        <w:numPr>
          <w:ilvl w:val="0"/>
          <w:numId w:val="3"/>
        </w:numPr>
        <w:spacing w:before="40" w:after="40"/>
      </w:pPr>
      <w:r>
        <w:rPr>
          <w:rFonts w:ascii="Arial" w:cs="Arial" w:eastAsia="Arial" w:hAnsi="Arial"/>
          <w:color w:val="2C2C2C"/>
          <w:sz w:val="21"/>
          <w:szCs w:val="21"/>
        </w:rPr>
        <w:t xml:space="preserve">Managing client relationships and matter files</w:t>
      </w:r>
    </w:p>
    <w:p>
      <w:pPr>
        <w:pStyle w:val="ListParagraph"/>
        <w:numPr>
          <w:ilvl w:val="0"/>
          <w:numId w:val="3"/>
        </w:numPr>
        <w:spacing w:before="40" w:after="40"/>
      </w:pPr>
      <w:r>
        <w:rPr>
          <w:rFonts w:ascii="Arial" w:cs="Arial" w:eastAsia="Arial" w:hAnsi="Arial"/>
          <w:color w:val="2C2C2C"/>
          <w:sz w:val="21"/>
          <w:szCs w:val="21"/>
        </w:rPr>
        <w:t xml:space="preserve">Sending newsletters, legal updates, and firm announcements (only with your express consent)</w:t>
      </w:r>
    </w:p>
    <w:p>
      <w:pPr>
        <w:pStyle w:val="ListParagraph"/>
        <w:numPr>
          <w:ilvl w:val="0"/>
          <w:numId w:val="3"/>
        </w:numPr>
        <w:spacing w:before="40" w:after="40"/>
      </w:pPr>
      <w:r>
        <w:rPr>
          <w:rFonts w:ascii="Arial" w:cs="Arial" w:eastAsia="Arial" w:hAnsi="Arial"/>
          <w:color w:val="2C2C2C"/>
          <w:sz w:val="21"/>
          <w:szCs w:val="21"/>
        </w:rPr>
        <w:t xml:space="preserve">Complying with applicable laws, court orders, and regulatory obligations</w:t>
      </w:r>
    </w:p>
    <w:p>
      <w:pPr>
        <w:pStyle w:val="ListParagraph"/>
        <w:numPr>
          <w:ilvl w:val="0"/>
          <w:numId w:val="3"/>
        </w:numPr>
        <w:spacing w:before="40" w:after="40"/>
      </w:pPr>
      <w:r>
        <w:rPr>
          <w:rFonts w:ascii="Arial" w:cs="Arial" w:eastAsia="Arial" w:hAnsi="Arial"/>
          <w:color w:val="2C2C2C"/>
          <w:sz w:val="21"/>
          <w:szCs w:val="21"/>
        </w:rPr>
        <w:t xml:space="preserve">Improving the functionality, security, and user experience of our Website</w:t>
      </w:r>
    </w:p>
    <w:p>
      <w:pPr>
        <w:pStyle w:val="ListParagraph"/>
        <w:numPr>
          <w:ilvl w:val="0"/>
          <w:numId w:val="3"/>
        </w:numPr>
        <w:spacing w:before="40" w:after="40"/>
      </w:pPr>
      <w:r>
        <w:rPr>
          <w:rFonts w:ascii="Arial" w:cs="Arial" w:eastAsia="Arial" w:hAnsi="Arial"/>
          <w:color w:val="2C2C2C"/>
          <w:sz w:val="21"/>
          <w:szCs w:val="21"/>
        </w:rPr>
        <w:t xml:space="preserve">Fraud prevention, risk management, and internal audit purposes</w:t>
      </w:r>
    </w:p>
    <w:p>
      <w:pPr>
        <w:pStyle w:val="Heading2"/>
        <w:spacing w:before="300" w:after="120"/>
      </w:pPr>
      <w:r>
        <w:rPr>
          <w:rFonts w:ascii="Arial" w:cs="Arial" w:eastAsia="Arial" w:hAnsi="Arial"/>
          <w:b/>
          <w:bCs/>
          <w:color w:val="1A2E4A"/>
          <w:sz w:val="26"/>
          <w:szCs w:val="26"/>
        </w:rPr>
        <w:t xml:space="preserve">4.  Legal Basis for Processing Your Data</w:t>
      </w:r>
    </w:p>
    <w:p>
      <w:pPr>
        <w:spacing w:before="60" w:after="80" w:line="320"/>
        <w:jc w:val="both"/>
      </w:pPr>
      <w:r>
        <w:rPr>
          <w:rFonts w:ascii="Arial" w:cs="Arial" w:eastAsia="Arial" w:hAnsi="Arial"/>
          <w:color w:val="2C2C2C"/>
          <w:sz w:val="21"/>
          <w:szCs w:val="21"/>
        </w:rPr>
        <w:t xml:space="preserve">Our processing of your personal information is grounded in the following legal bases, consistent with Pakistani law and internationally recognised data protection principles:</w:t>
      </w:r>
    </w:p>
    <w:p>
      <w:pPr>
        <w:pStyle w:val="ListParagraph"/>
        <w:numPr>
          <w:ilvl w:val="0"/>
          <w:numId w:val="2"/>
        </w:numPr>
        <w:spacing w:before="40" w:after="40"/>
      </w:pPr>
      <w:r>
        <w:rPr>
          <w:rFonts w:ascii="Arial" w:cs="Arial" w:eastAsia="Arial" w:hAnsi="Arial"/>
          <w:color w:val="2C2C2C"/>
          <w:sz w:val="21"/>
          <w:szCs w:val="21"/>
        </w:rPr>
        <w:t xml:space="preserve">Contractual necessity — to deliver the professional services you have engaged us for</w:t>
      </w:r>
    </w:p>
    <w:p>
      <w:pPr>
        <w:pStyle w:val="ListParagraph"/>
        <w:numPr>
          <w:ilvl w:val="0"/>
          <w:numId w:val="2"/>
        </w:numPr>
        <w:spacing w:before="40" w:after="40"/>
      </w:pPr>
      <w:r>
        <w:rPr>
          <w:rFonts w:ascii="Arial" w:cs="Arial" w:eastAsia="Arial" w:hAnsi="Arial"/>
          <w:color w:val="2C2C2C"/>
          <w:sz w:val="21"/>
          <w:szCs w:val="21"/>
        </w:rPr>
        <w:t xml:space="preserve">Legitimate interests — to operate and improve our Website and professional practice</w:t>
      </w:r>
    </w:p>
    <w:p>
      <w:pPr>
        <w:pStyle w:val="ListParagraph"/>
        <w:numPr>
          <w:ilvl w:val="0"/>
          <w:numId w:val="2"/>
        </w:numPr>
        <w:spacing w:before="40" w:after="40"/>
      </w:pPr>
      <w:r>
        <w:rPr>
          <w:rFonts w:ascii="Arial" w:cs="Arial" w:eastAsia="Arial" w:hAnsi="Arial"/>
          <w:color w:val="2C2C2C"/>
          <w:sz w:val="21"/>
          <w:szCs w:val="21"/>
        </w:rPr>
        <w:t xml:space="preserve">Legal obligation — to comply with court orders, regulatory requirements, and anti-money laundering obligations under the Anti-Money Laundering Act, 2010</w:t>
      </w:r>
    </w:p>
    <w:p>
      <w:pPr>
        <w:pStyle w:val="ListParagraph"/>
        <w:numPr>
          <w:ilvl w:val="0"/>
          <w:numId w:val="2"/>
        </w:numPr>
        <w:spacing w:before="40" w:after="40"/>
      </w:pPr>
      <w:r>
        <w:rPr>
          <w:rFonts w:ascii="Arial" w:cs="Arial" w:eastAsia="Arial" w:hAnsi="Arial"/>
          <w:color w:val="2C2C2C"/>
          <w:sz w:val="21"/>
          <w:szCs w:val="21"/>
        </w:rPr>
        <w:t xml:space="preserve">Consent — for optional communications such as newsletters and legal updates, which you may withdraw at any time</w:t>
      </w:r>
    </w:p>
    <w:p>
      <w:pPr>
        <w:pStyle w:val="Heading2"/>
        <w:spacing w:before="300" w:after="120"/>
      </w:pPr>
      <w:r>
        <w:rPr>
          <w:rFonts w:ascii="Arial" w:cs="Arial" w:eastAsia="Arial" w:hAnsi="Arial"/>
          <w:b/>
          <w:bCs/>
          <w:color w:val="1A2E4A"/>
          <w:sz w:val="26"/>
          <w:szCs w:val="26"/>
        </w:rPr>
        <w:t xml:space="preserve">5.  Disclosure &amp; Sharing of Your Information</w:t>
      </w:r>
    </w:p>
    <w:p>
      <w:pPr>
        <w:spacing w:before="60" w:after="80" w:line="320"/>
        <w:jc w:val="both"/>
      </w:pPr>
      <w:r>
        <w:rPr>
          <w:rFonts w:ascii="Arial" w:cs="Arial" w:eastAsia="Arial" w:hAnsi="Arial"/>
          <w:color w:val="2C2C2C"/>
          <w:sz w:val="21"/>
          <w:szCs w:val="21"/>
        </w:rPr>
        <w:t xml:space="preserve">Invictus does not sell, rent, or trade your personal information. We share data only in the following, strictly limited circumstances:</w:t>
      </w:r>
    </w:p>
    <w:p>
      <w:pPr>
        <w:pStyle w:val="Heading3"/>
        <w:spacing w:before="200" w:after="80"/>
      </w:pPr>
      <w:r>
        <w:rPr>
          <w:rFonts w:ascii="Arial" w:cs="Arial" w:eastAsia="Arial" w:hAnsi="Arial"/>
          <w:b/>
          <w:bCs/>
          <w:color w:val="B8960C"/>
          <w:sz w:val="22"/>
          <w:szCs w:val="22"/>
        </w:rPr>
        <w:t xml:space="preserve">5.1  Within the Firm</w:t>
      </w:r>
    </w:p>
    <w:p>
      <w:pPr>
        <w:spacing w:before="60" w:after="80" w:line="320"/>
        <w:jc w:val="both"/>
      </w:pPr>
      <w:r>
        <w:rPr>
          <w:rFonts w:ascii="Arial" w:cs="Arial" w:eastAsia="Arial" w:hAnsi="Arial"/>
          <w:color w:val="2C2C2C"/>
          <w:sz w:val="21"/>
          <w:szCs w:val="21"/>
        </w:rPr>
        <w:t xml:space="preserve">Your information may be accessible to partners, associates, paralegal staff, and administrative personnel at Invictus, strictly on a need-to-know basis relevant to your matter.</w:t>
      </w:r>
    </w:p>
    <w:p>
      <w:pPr>
        <w:pStyle w:val="Heading3"/>
        <w:spacing w:before="200" w:after="80"/>
      </w:pPr>
      <w:r>
        <w:rPr>
          <w:rFonts w:ascii="Arial" w:cs="Arial" w:eastAsia="Arial" w:hAnsi="Arial"/>
          <w:b/>
          <w:bCs/>
          <w:color w:val="B8960C"/>
          <w:sz w:val="22"/>
          <w:szCs w:val="22"/>
        </w:rPr>
        <w:t xml:space="preserve">5.2  Trusted Third-Party Service Providers</w:t>
      </w:r>
    </w:p>
    <w:p>
      <w:pPr>
        <w:spacing w:before="60" w:after="80" w:line="320"/>
        <w:jc w:val="both"/>
      </w:pPr>
      <w:r>
        <w:rPr>
          <w:rFonts w:ascii="Arial" w:cs="Arial" w:eastAsia="Arial" w:hAnsi="Arial"/>
          <w:color w:val="2C2C2C"/>
          <w:sz w:val="21"/>
          <w:szCs w:val="21"/>
        </w:rPr>
        <w:t xml:space="preserve">We engage select third-party providers to support our operations — including IT infrastructure, cloud storage, and document management. Such parties are bound by confidentiality agreements and are prohibited from using your data for any purpose other than service delivery to Invictus.</w:t>
      </w:r>
    </w:p>
    <w:p>
      <w:pPr>
        <w:pStyle w:val="Heading3"/>
        <w:spacing w:before="200" w:after="80"/>
      </w:pPr>
      <w:r>
        <w:rPr>
          <w:rFonts w:ascii="Arial" w:cs="Arial" w:eastAsia="Arial" w:hAnsi="Arial"/>
          <w:b/>
          <w:bCs/>
          <w:color w:val="B8960C"/>
          <w:sz w:val="22"/>
          <w:szCs w:val="22"/>
        </w:rPr>
        <w:t xml:space="preserve">5.3  Legal &amp; Regulatory Disclosure</w:t>
      </w:r>
    </w:p>
    <w:p>
      <w:pPr>
        <w:spacing w:before="60" w:after="80" w:line="320"/>
        <w:jc w:val="both"/>
      </w:pPr>
      <w:r>
        <w:rPr>
          <w:rFonts w:ascii="Arial" w:cs="Arial" w:eastAsia="Arial" w:hAnsi="Arial"/>
          <w:color w:val="2C2C2C"/>
          <w:sz w:val="21"/>
          <w:szCs w:val="21"/>
        </w:rPr>
        <w:t xml:space="preserve">We may disclose your information where required by law, regulation, court order, or a direction from a competent regulatory authority in Pakistan. To the extent permissible, we will inform you of any such disclosure requirement.</w:t>
      </w:r>
    </w:p>
    <w:p>
      <w:pPr>
        <w:pStyle w:val="Heading3"/>
        <w:spacing w:before="200" w:after="80"/>
      </w:pPr>
      <w:r>
        <w:rPr>
          <w:rFonts w:ascii="Arial" w:cs="Arial" w:eastAsia="Arial" w:hAnsi="Arial"/>
          <w:b/>
          <w:bCs/>
          <w:color w:val="B8960C"/>
          <w:sz w:val="22"/>
          <w:szCs w:val="22"/>
        </w:rPr>
        <w:t xml:space="preserve">5.4  Business Transfers</w:t>
      </w:r>
    </w:p>
    <w:p>
      <w:pPr>
        <w:spacing w:before="60" w:after="80" w:line="320"/>
        <w:jc w:val="both"/>
      </w:pPr>
      <w:r>
        <w:rPr>
          <w:rFonts w:ascii="Arial" w:cs="Arial" w:eastAsia="Arial" w:hAnsi="Arial"/>
          <w:color w:val="2C2C2C"/>
          <w:sz w:val="21"/>
          <w:szCs w:val="21"/>
        </w:rPr>
        <w:t xml:space="preserve">In the event of a merger, acquisition, or restructuring of the Firm, your data may be transferred to a successor entity, subject to equivalent confidentiality protections.</w:t>
      </w:r>
    </w:p>
    <w:p>
      <w:pPr>
        <w:pStyle w:val="Heading2"/>
        <w:spacing w:before="300" w:after="120"/>
      </w:pPr>
      <w:r>
        <w:rPr>
          <w:rFonts w:ascii="Arial" w:cs="Arial" w:eastAsia="Arial" w:hAnsi="Arial"/>
          <w:b/>
          <w:bCs/>
          <w:color w:val="1A2E4A"/>
          <w:sz w:val="26"/>
          <w:szCs w:val="26"/>
        </w:rPr>
        <w:t xml:space="preserve">6.  Data Retention</w:t>
      </w:r>
    </w:p>
    <w:p>
      <w:pPr>
        <w:spacing w:before="60" w:after="80" w:line="320"/>
        <w:jc w:val="both"/>
      </w:pPr>
      <w:r>
        <w:rPr>
          <w:rFonts w:ascii="Arial" w:cs="Arial" w:eastAsia="Arial" w:hAnsi="Arial"/>
          <w:color w:val="2C2C2C"/>
          <w:sz w:val="21"/>
          <w:szCs w:val="21"/>
        </w:rPr>
        <w:t xml:space="preserve">We retain your personal information for as long as necessary to fulfil the purposes for which it was collected, and thereafter in compliance with applicable professional and statutory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A2E4A" w:sz="4"/>
              <w:left w:val="single" w:color="1A2E4A" w:sz="4"/>
              <w:bottom w:val="single" w:color="1A2E4A" w:sz="4"/>
              <w:right w:val="single" w:color="1A2E4A" w:sz="4"/>
            </w:tcBorders>
            <w:shd w:fill="1A2E4A" w:val="clear"/>
            <w:tcMar>
              <w:top w:type="dxa" w:w="120"/>
              <w:left w:type="dxa" w:w="180"/>
              <w:bottom w:type="dxa" w:w="120"/>
              <w:right w:type="dxa" w:w="180"/>
            </w:tcMar>
          </w:tcPr>
          <w:p>
            <w:r>
              <w:rPr>
                <w:rFonts w:ascii="Arial" w:cs="Arial" w:eastAsia="Arial" w:hAnsi="Arial"/>
                <w:b/>
                <w:bCs/>
                <w:color w:val="FFFFFF"/>
                <w:sz w:val="21"/>
                <w:szCs w:val="21"/>
              </w:rPr>
              <w:t xml:space="preserve">Data Category</w:t>
            </w:r>
          </w:p>
        </w:tc>
        <w:tc>
          <w:tcPr>
            <w:tcW w:type="dxa" w:w="5160"/>
            <w:tcBorders>
              <w:top w:val="single" w:color="1A2E4A" w:sz="4"/>
              <w:left w:val="single" w:color="1A2E4A" w:sz="4"/>
              <w:bottom w:val="single" w:color="1A2E4A" w:sz="4"/>
              <w:right w:val="single" w:color="1A2E4A" w:sz="4"/>
            </w:tcBorders>
            <w:shd w:fill="1A2E4A" w:val="clear"/>
            <w:tcMar>
              <w:top w:type="dxa" w:w="120"/>
              <w:left w:type="dxa" w:w="180"/>
              <w:bottom w:type="dxa" w:w="120"/>
              <w:right w:type="dxa" w:w="180"/>
            </w:tcMar>
          </w:tcPr>
          <w:p>
            <w:r>
              <w:rPr>
                <w:rFonts w:ascii="Arial" w:cs="Arial" w:eastAsia="Arial" w:hAnsi="Arial"/>
                <w:b/>
                <w:bCs/>
                <w:color w:val="FFFFFF"/>
                <w:sz w:val="21"/>
                <w:szCs w:val="21"/>
              </w:rPr>
              <w:t xml:space="preserve">Retention Period</w:t>
            </w:r>
          </w:p>
        </w:tc>
      </w:tr>
      <w:tr>
        <w:tc>
          <w:tcPr>
            <w:tcW w:type="dxa" w:w="4200"/>
            <w:tcBorders>
              <w:top w:val="single" w:color="D0DAE8" w:sz="2"/>
              <w:left w:val="single" w:color="D0DAE8" w:sz="2"/>
              <w:bottom w:val="single" w:color="D0DAE8" w:sz="2"/>
              <w:right w:val="single" w:color="D0DAE8" w:sz="2"/>
            </w:tcBorders>
            <w:shd w:fill="EEF2F7" w:val="clear"/>
            <w:tcMar>
              <w:top w:type="dxa" w:w="100"/>
              <w:left w:type="dxa" w:w="180"/>
              <w:bottom w:type="dxa" w:w="100"/>
              <w:right w:type="dxa" w:w="180"/>
            </w:tcMar>
          </w:tcPr>
          <w:p>
            <w:r>
              <w:rPr>
                <w:rFonts w:ascii="Arial" w:cs="Arial" w:eastAsia="Arial" w:hAnsi="Arial"/>
                <w:color w:val="2C2C2C"/>
                <w:sz w:val="20"/>
                <w:szCs w:val="20"/>
              </w:rPr>
              <w:t xml:space="preserve">Active client matter files</w:t>
            </w:r>
          </w:p>
        </w:tc>
        <w:tc>
          <w:tcPr>
            <w:tcW w:type="dxa" w:w="5160"/>
            <w:tcBorders>
              <w:top w:val="single" w:color="D0DAE8" w:sz="2"/>
              <w:left w:val="single" w:color="D0DAE8" w:sz="2"/>
              <w:bottom w:val="single" w:color="D0DAE8" w:sz="2"/>
              <w:right w:val="single" w:color="D0DAE8" w:sz="2"/>
            </w:tcBorders>
            <w:shd w:fill="EEF2F7" w:val="clear"/>
            <w:tcMar>
              <w:top w:type="dxa" w:w="100"/>
              <w:left w:type="dxa" w:w="180"/>
              <w:bottom w:type="dxa" w:w="100"/>
              <w:right w:type="dxa" w:w="180"/>
            </w:tcMar>
          </w:tcPr>
          <w:p>
            <w:r>
              <w:rPr>
                <w:rFonts w:ascii="Arial" w:cs="Arial" w:eastAsia="Arial" w:hAnsi="Arial"/>
                <w:color w:val="2C2C2C"/>
                <w:sz w:val="20"/>
                <w:szCs w:val="20"/>
              </w:rPr>
              <w:t xml:space="preserve">Duration of engagement + 10 years</w:t>
            </w:r>
          </w:p>
        </w:tc>
      </w:tr>
      <w:tr>
        <w:tc>
          <w:tcPr>
            <w:tcW w:type="dxa" w:w="4200"/>
            <w:tcBorders>
              <w:top w:val="single" w:color="D0DAE8" w:sz="2"/>
              <w:left w:val="single" w:color="D0DAE8" w:sz="2"/>
              <w:bottom w:val="single" w:color="D0DAE8" w:sz="2"/>
              <w:right w:val="single" w:color="D0DAE8" w:sz="2"/>
            </w:tcBorders>
            <w:shd w:fill="FFFFFF" w:val="clear"/>
            <w:tcMar>
              <w:top w:type="dxa" w:w="100"/>
              <w:left w:type="dxa" w:w="180"/>
              <w:bottom w:type="dxa" w:w="100"/>
              <w:right w:type="dxa" w:w="180"/>
            </w:tcMar>
          </w:tcPr>
          <w:p>
            <w:r>
              <w:rPr>
                <w:rFonts w:ascii="Arial" w:cs="Arial" w:eastAsia="Arial" w:hAnsi="Arial"/>
                <w:color w:val="2C2C2C"/>
                <w:sz w:val="20"/>
                <w:szCs w:val="20"/>
              </w:rPr>
              <w:t xml:space="preserve">Inquiry/contact form submissions</w:t>
            </w:r>
          </w:p>
        </w:tc>
        <w:tc>
          <w:tcPr>
            <w:tcW w:type="dxa" w:w="5160"/>
            <w:tcBorders>
              <w:top w:val="single" w:color="D0DAE8" w:sz="2"/>
              <w:left w:val="single" w:color="D0DAE8" w:sz="2"/>
              <w:bottom w:val="single" w:color="D0DAE8" w:sz="2"/>
              <w:right w:val="single" w:color="D0DAE8" w:sz="2"/>
            </w:tcBorders>
            <w:shd w:fill="FFFFFF" w:val="clear"/>
            <w:tcMar>
              <w:top w:type="dxa" w:w="100"/>
              <w:left w:type="dxa" w:w="180"/>
              <w:bottom w:type="dxa" w:w="100"/>
              <w:right w:type="dxa" w:w="180"/>
            </w:tcMar>
          </w:tcPr>
          <w:p>
            <w:r>
              <w:rPr>
                <w:rFonts w:ascii="Arial" w:cs="Arial" w:eastAsia="Arial" w:hAnsi="Arial"/>
                <w:color w:val="2C2C2C"/>
                <w:sz w:val="20"/>
                <w:szCs w:val="20"/>
              </w:rPr>
              <w:t xml:space="preserve">3 years from date of submission</w:t>
            </w:r>
          </w:p>
        </w:tc>
      </w:tr>
      <w:tr>
        <w:tc>
          <w:tcPr>
            <w:tcW w:type="dxa" w:w="4200"/>
            <w:tcBorders>
              <w:top w:val="single" w:color="D0DAE8" w:sz="2"/>
              <w:left w:val="single" w:color="D0DAE8" w:sz="2"/>
              <w:bottom w:val="single" w:color="D0DAE8" w:sz="2"/>
              <w:right w:val="single" w:color="D0DAE8" w:sz="2"/>
            </w:tcBorders>
            <w:shd w:fill="EEF2F7" w:val="clear"/>
            <w:tcMar>
              <w:top w:type="dxa" w:w="100"/>
              <w:left w:type="dxa" w:w="180"/>
              <w:bottom w:type="dxa" w:w="100"/>
              <w:right w:type="dxa" w:w="180"/>
            </w:tcMar>
          </w:tcPr>
          <w:p>
            <w:r>
              <w:rPr>
                <w:rFonts w:ascii="Arial" w:cs="Arial" w:eastAsia="Arial" w:hAnsi="Arial"/>
                <w:color w:val="2C2C2C"/>
                <w:sz w:val="20"/>
                <w:szCs w:val="20"/>
              </w:rPr>
              <w:t xml:space="preserve">Website usage / analytics data</w:t>
            </w:r>
          </w:p>
        </w:tc>
        <w:tc>
          <w:tcPr>
            <w:tcW w:type="dxa" w:w="5160"/>
            <w:tcBorders>
              <w:top w:val="single" w:color="D0DAE8" w:sz="2"/>
              <w:left w:val="single" w:color="D0DAE8" w:sz="2"/>
              <w:bottom w:val="single" w:color="D0DAE8" w:sz="2"/>
              <w:right w:val="single" w:color="D0DAE8" w:sz="2"/>
            </w:tcBorders>
            <w:shd w:fill="EEF2F7" w:val="clear"/>
            <w:tcMar>
              <w:top w:type="dxa" w:w="100"/>
              <w:left w:type="dxa" w:w="180"/>
              <w:bottom w:type="dxa" w:w="100"/>
              <w:right w:type="dxa" w:w="180"/>
            </w:tcMar>
          </w:tcPr>
          <w:p>
            <w:r>
              <w:rPr>
                <w:rFonts w:ascii="Arial" w:cs="Arial" w:eastAsia="Arial" w:hAnsi="Arial"/>
                <w:color w:val="2C2C2C"/>
                <w:sz w:val="20"/>
                <w:szCs w:val="20"/>
              </w:rPr>
              <w:t xml:space="preserve">12 months on a rolling basis</w:t>
            </w:r>
          </w:p>
        </w:tc>
      </w:tr>
      <w:tr>
        <w:tc>
          <w:tcPr>
            <w:tcW w:type="dxa" w:w="4200"/>
            <w:tcBorders>
              <w:top w:val="single" w:color="D0DAE8" w:sz="2"/>
              <w:left w:val="single" w:color="D0DAE8" w:sz="2"/>
              <w:bottom w:val="single" w:color="D0DAE8" w:sz="2"/>
              <w:right w:val="single" w:color="D0DAE8" w:sz="2"/>
            </w:tcBorders>
            <w:shd w:fill="FFFFFF" w:val="clear"/>
            <w:tcMar>
              <w:top w:type="dxa" w:w="100"/>
              <w:left w:type="dxa" w:w="180"/>
              <w:bottom w:type="dxa" w:w="100"/>
              <w:right w:type="dxa" w:w="180"/>
            </w:tcMar>
          </w:tcPr>
          <w:p>
            <w:r>
              <w:rPr>
                <w:rFonts w:ascii="Arial" w:cs="Arial" w:eastAsia="Arial" w:hAnsi="Arial"/>
                <w:color w:val="2C2C2C"/>
                <w:sz w:val="20"/>
                <w:szCs w:val="20"/>
              </w:rPr>
              <w:t xml:space="preserve">Newsletter subscriber data</w:t>
            </w:r>
          </w:p>
        </w:tc>
        <w:tc>
          <w:tcPr>
            <w:tcW w:type="dxa" w:w="5160"/>
            <w:tcBorders>
              <w:top w:val="single" w:color="D0DAE8" w:sz="2"/>
              <w:left w:val="single" w:color="D0DAE8" w:sz="2"/>
              <w:bottom w:val="single" w:color="D0DAE8" w:sz="2"/>
              <w:right w:val="single" w:color="D0DAE8" w:sz="2"/>
            </w:tcBorders>
            <w:shd w:fill="FFFFFF" w:val="clear"/>
            <w:tcMar>
              <w:top w:type="dxa" w:w="100"/>
              <w:left w:type="dxa" w:w="180"/>
              <w:bottom w:type="dxa" w:w="100"/>
              <w:right w:type="dxa" w:w="180"/>
            </w:tcMar>
          </w:tcPr>
          <w:p>
            <w:r>
              <w:rPr>
                <w:rFonts w:ascii="Arial" w:cs="Arial" w:eastAsia="Arial" w:hAnsi="Arial"/>
                <w:color w:val="2C2C2C"/>
                <w:sz w:val="20"/>
                <w:szCs w:val="20"/>
              </w:rPr>
              <w:t xml:space="preserve">Until consent is withdrawn</w:t>
            </w:r>
          </w:p>
        </w:tc>
      </w:tr>
      <w:tr>
        <w:tc>
          <w:tcPr>
            <w:tcW w:type="dxa" w:w="4200"/>
            <w:tcBorders>
              <w:top w:val="single" w:color="D0DAE8" w:sz="2"/>
              <w:left w:val="single" w:color="D0DAE8" w:sz="2"/>
              <w:bottom w:val="single" w:color="D0DAE8" w:sz="2"/>
              <w:right w:val="single" w:color="D0DAE8" w:sz="2"/>
            </w:tcBorders>
            <w:shd w:fill="EEF2F7" w:val="clear"/>
            <w:tcMar>
              <w:top w:type="dxa" w:w="100"/>
              <w:left w:type="dxa" w:w="180"/>
              <w:bottom w:type="dxa" w:w="100"/>
              <w:right w:type="dxa" w:w="180"/>
            </w:tcMar>
          </w:tcPr>
          <w:p>
            <w:r>
              <w:rPr>
                <w:rFonts w:ascii="Arial" w:cs="Arial" w:eastAsia="Arial" w:hAnsi="Arial"/>
                <w:color w:val="2C2C2C"/>
                <w:sz w:val="20"/>
                <w:szCs w:val="20"/>
              </w:rPr>
              <w:t xml:space="preserve">Billing and payment records</w:t>
            </w:r>
          </w:p>
        </w:tc>
        <w:tc>
          <w:tcPr>
            <w:tcW w:type="dxa" w:w="5160"/>
            <w:tcBorders>
              <w:top w:val="single" w:color="D0DAE8" w:sz="2"/>
              <w:left w:val="single" w:color="D0DAE8" w:sz="2"/>
              <w:bottom w:val="single" w:color="D0DAE8" w:sz="2"/>
              <w:right w:val="single" w:color="D0DAE8" w:sz="2"/>
            </w:tcBorders>
            <w:shd w:fill="EEF2F7" w:val="clear"/>
            <w:tcMar>
              <w:top w:type="dxa" w:w="100"/>
              <w:left w:type="dxa" w:w="180"/>
              <w:bottom w:type="dxa" w:w="100"/>
              <w:right w:type="dxa" w:w="180"/>
            </w:tcMar>
          </w:tcPr>
          <w:p>
            <w:r>
              <w:rPr>
                <w:rFonts w:ascii="Arial" w:cs="Arial" w:eastAsia="Arial" w:hAnsi="Arial"/>
                <w:color w:val="2C2C2C"/>
                <w:sz w:val="20"/>
                <w:szCs w:val="20"/>
              </w:rPr>
              <w:t xml:space="preserve">7 years (statutory requirement)</w:t>
            </w:r>
          </w:p>
        </w:tc>
      </w:tr>
      <w:tr>
        <w:tc>
          <w:tcPr>
            <w:tcW w:type="dxa" w:w="4200"/>
            <w:tcBorders>
              <w:top w:val="single" w:color="D0DAE8" w:sz="2"/>
              <w:left w:val="single" w:color="D0DAE8" w:sz="2"/>
              <w:bottom w:val="single" w:color="D0DAE8" w:sz="2"/>
              <w:right w:val="single" w:color="D0DAE8" w:sz="2"/>
            </w:tcBorders>
            <w:shd w:fill="FFFFFF" w:val="clear"/>
            <w:tcMar>
              <w:top w:type="dxa" w:w="100"/>
              <w:left w:type="dxa" w:w="180"/>
              <w:bottom w:type="dxa" w:w="100"/>
              <w:right w:type="dxa" w:w="180"/>
            </w:tcMar>
          </w:tcPr>
          <w:p>
            <w:r>
              <w:rPr>
                <w:rFonts w:ascii="Arial" w:cs="Arial" w:eastAsia="Arial" w:hAnsi="Arial"/>
                <w:color w:val="2C2C2C"/>
                <w:sz w:val="20"/>
                <w:szCs w:val="20"/>
              </w:rPr>
              <w:t xml:space="preserve">AML/KYC documentation</w:t>
            </w:r>
          </w:p>
        </w:tc>
        <w:tc>
          <w:tcPr>
            <w:tcW w:type="dxa" w:w="5160"/>
            <w:tcBorders>
              <w:top w:val="single" w:color="D0DAE8" w:sz="2"/>
              <w:left w:val="single" w:color="D0DAE8" w:sz="2"/>
              <w:bottom w:val="single" w:color="D0DAE8" w:sz="2"/>
              <w:right w:val="single" w:color="D0DAE8" w:sz="2"/>
            </w:tcBorders>
            <w:shd w:fill="FFFFFF" w:val="clear"/>
            <w:tcMar>
              <w:top w:type="dxa" w:w="100"/>
              <w:left w:type="dxa" w:w="180"/>
              <w:bottom w:type="dxa" w:w="100"/>
              <w:right w:type="dxa" w:w="180"/>
            </w:tcMar>
          </w:tcPr>
          <w:p>
            <w:r>
              <w:rPr>
                <w:rFonts w:ascii="Arial" w:cs="Arial" w:eastAsia="Arial" w:hAnsi="Arial"/>
                <w:color w:val="2C2C2C"/>
                <w:sz w:val="20"/>
                <w:szCs w:val="20"/>
              </w:rPr>
              <w:t xml:space="preserve">5 years minimum (AML Act 2010)</w:t>
            </w:r>
          </w:p>
        </w:tc>
      </w:tr>
    </w:tbl>
    <w:p>
      <w:pPr>
        <w:pStyle w:val="Heading2"/>
        <w:spacing w:before="300" w:after="120"/>
      </w:pPr>
      <w:r>
        <w:rPr>
          <w:rFonts w:ascii="Arial" w:cs="Arial" w:eastAsia="Arial" w:hAnsi="Arial"/>
          <w:b/>
          <w:bCs/>
          <w:color w:val="1A2E4A"/>
          <w:sz w:val="26"/>
          <w:szCs w:val="26"/>
        </w:rPr>
        <w:t xml:space="preserve">7.  Cookies &amp; Tracking Technologies</w:t>
      </w:r>
    </w:p>
    <w:p>
      <w:pPr>
        <w:spacing w:before="60" w:after="80" w:line="320"/>
        <w:jc w:val="both"/>
      </w:pPr>
      <w:r>
        <w:rPr>
          <w:rFonts w:ascii="Arial" w:cs="Arial" w:eastAsia="Arial" w:hAnsi="Arial"/>
          <w:color w:val="2C2C2C"/>
          <w:sz w:val="21"/>
          <w:szCs w:val="21"/>
        </w:rPr>
        <w:t xml:space="preserve">Our Website uses cookies — small text files placed on your device — to enhance your browsing experience and gather analytical data. We use the following categories:</w:t>
      </w:r>
    </w:p>
    <w:p>
      <w:pPr>
        <w:pStyle w:val="ListParagraph"/>
        <w:numPr>
          <w:ilvl w:val="0"/>
          <w:numId w:val="2"/>
        </w:numPr>
        <w:spacing w:before="40" w:after="40"/>
      </w:pPr>
      <w:r>
        <w:rPr>
          <w:rFonts w:ascii="Arial" w:cs="Arial" w:eastAsia="Arial" w:hAnsi="Arial"/>
          <w:color w:val="2C2C2C"/>
          <w:sz w:val="21"/>
          <w:szCs w:val="21"/>
        </w:rPr>
        <w:t xml:space="preserve">Strictly Necessary Cookies — Essential for the Website to function. These cannot be disabled.</w:t>
      </w:r>
    </w:p>
    <w:p>
      <w:pPr>
        <w:pStyle w:val="ListParagraph"/>
        <w:numPr>
          <w:ilvl w:val="0"/>
          <w:numId w:val="2"/>
        </w:numPr>
        <w:spacing w:before="40" w:after="40"/>
      </w:pPr>
      <w:r>
        <w:rPr>
          <w:rFonts w:ascii="Arial" w:cs="Arial" w:eastAsia="Arial" w:hAnsi="Arial"/>
          <w:color w:val="2C2C2C"/>
          <w:sz w:val="21"/>
          <w:szCs w:val="21"/>
        </w:rPr>
        <w:t xml:space="preserve">Analytics Cookies — Help us understand how visitors interact with our Website (e.g., Google Analytics). These are anonymised.</w:t>
      </w:r>
    </w:p>
    <w:p>
      <w:pPr>
        <w:pStyle w:val="ListParagraph"/>
        <w:numPr>
          <w:ilvl w:val="0"/>
          <w:numId w:val="2"/>
        </w:numPr>
        <w:spacing w:before="40" w:after="40"/>
      </w:pPr>
      <w:r>
        <w:rPr>
          <w:rFonts w:ascii="Arial" w:cs="Arial" w:eastAsia="Arial" w:hAnsi="Arial"/>
          <w:color w:val="2C2C2C"/>
          <w:sz w:val="21"/>
          <w:szCs w:val="21"/>
        </w:rPr>
        <w:t xml:space="preserve">Preference Cookies — Remember your language and display preferences.</w:t>
      </w:r>
    </w:p>
    <w:p>
      <w:pPr>
        <w:spacing w:before="60" w:after="80" w:line="320"/>
        <w:jc w:val="both"/>
      </w:pPr>
      <w:r>
        <w:rPr>
          <w:rFonts w:ascii="Arial" w:cs="Arial" w:eastAsia="Arial" w:hAnsi="Arial"/>
          <w:color w:val="2C2C2C"/>
          <w:sz w:val="21"/>
          <w:szCs w:val="21"/>
        </w:rPr>
        <w:t xml:space="preserve">You may manage or disable cookies through your browser settings. Note that disabling certain cookies may affect Website functionality. We do not use advertising or third-party tracking cookies.</w:t>
      </w:r>
    </w:p>
    <w:p>
      <w:pPr>
        <w:pStyle w:val="Heading2"/>
        <w:spacing w:before="300" w:after="120"/>
      </w:pPr>
      <w:r>
        <w:rPr>
          <w:rFonts w:ascii="Arial" w:cs="Arial" w:eastAsia="Arial" w:hAnsi="Arial"/>
          <w:b/>
          <w:bCs/>
          <w:color w:val="1A2E4A"/>
          <w:sz w:val="26"/>
          <w:szCs w:val="26"/>
        </w:rPr>
        <w:t xml:space="preserve">8.  Your Rights</w:t>
      </w:r>
    </w:p>
    <w:p>
      <w:pPr>
        <w:spacing w:before="60" w:after="80" w:line="320"/>
        <w:jc w:val="both"/>
      </w:pPr>
      <w:r>
        <w:rPr>
          <w:rFonts w:ascii="Arial" w:cs="Arial" w:eastAsia="Arial" w:hAnsi="Arial"/>
          <w:color w:val="2C2C2C"/>
          <w:sz w:val="21"/>
          <w:szCs w:val="21"/>
        </w:rPr>
        <w:t xml:space="preserve">You have the following rights in relation to your personal data held by Invictus:</w:t>
      </w:r>
    </w:p>
    <w:p>
      <w:pPr>
        <w:pStyle w:val="ListParagraph"/>
        <w:numPr>
          <w:ilvl w:val="0"/>
          <w:numId w:val="2"/>
        </w:numPr>
        <w:spacing w:before="40" w:after="40"/>
      </w:pPr>
      <w:r>
        <w:rPr>
          <w:rFonts w:ascii="Arial" w:cs="Arial" w:eastAsia="Arial" w:hAnsi="Arial"/>
          <w:color w:val="2C2C2C"/>
          <w:sz w:val="21"/>
          <w:szCs w:val="21"/>
        </w:rPr>
        <w:t xml:space="preserve">Right of Access — to obtain a copy of the personal data we hold about you</w:t>
      </w:r>
    </w:p>
    <w:p>
      <w:pPr>
        <w:pStyle w:val="ListParagraph"/>
        <w:numPr>
          <w:ilvl w:val="0"/>
          <w:numId w:val="2"/>
        </w:numPr>
        <w:spacing w:before="40" w:after="40"/>
      </w:pPr>
      <w:r>
        <w:rPr>
          <w:rFonts w:ascii="Arial" w:cs="Arial" w:eastAsia="Arial" w:hAnsi="Arial"/>
          <w:color w:val="2C2C2C"/>
          <w:sz w:val="21"/>
          <w:szCs w:val="21"/>
        </w:rPr>
        <w:t xml:space="preserve">Right to Rectification — to have inaccurate or incomplete data corrected</w:t>
      </w:r>
    </w:p>
    <w:p>
      <w:pPr>
        <w:pStyle w:val="ListParagraph"/>
        <w:numPr>
          <w:ilvl w:val="0"/>
          <w:numId w:val="2"/>
        </w:numPr>
        <w:spacing w:before="40" w:after="40"/>
      </w:pPr>
      <w:r>
        <w:rPr>
          <w:rFonts w:ascii="Arial" w:cs="Arial" w:eastAsia="Arial" w:hAnsi="Arial"/>
          <w:color w:val="2C2C2C"/>
          <w:sz w:val="21"/>
          <w:szCs w:val="21"/>
        </w:rPr>
        <w:t xml:space="preserve">Right to Erasure — to request deletion of your data, subject to legal and professional retention obligations</w:t>
      </w:r>
    </w:p>
    <w:p>
      <w:pPr>
        <w:pStyle w:val="ListParagraph"/>
        <w:numPr>
          <w:ilvl w:val="0"/>
          <w:numId w:val="2"/>
        </w:numPr>
        <w:spacing w:before="40" w:after="40"/>
      </w:pPr>
      <w:r>
        <w:rPr>
          <w:rFonts w:ascii="Arial" w:cs="Arial" w:eastAsia="Arial" w:hAnsi="Arial"/>
          <w:color w:val="2C2C2C"/>
          <w:sz w:val="21"/>
          <w:szCs w:val="21"/>
        </w:rPr>
        <w:t xml:space="preserve">Right to Restrict Processing — to limit how we use your data in certain circumstances</w:t>
      </w:r>
    </w:p>
    <w:p>
      <w:pPr>
        <w:pStyle w:val="ListParagraph"/>
        <w:numPr>
          <w:ilvl w:val="0"/>
          <w:numId w:val="2"/>
        </w:numPr>
        <w:spacing w:before="40" w:after="40"/>
      </w:pPr>
      <w:r>
        <w:rPr>
          <w:rFonts w:ascii="Arial" w:cs="Arial" w:eastAsia="Arial" w:hAnsi="Arial"/>
          <w:color w:val="2C2C2C"/>
          <w:sz w:val="21"/>
          <w:szCs w:val="21"/>
        </w:rPr>
        <w:t xml:space="preserve">Right to Object — to object to processing based on legitimate interests</w:t>
      </w:r>
    </w:p>
    <w:p>
      <w:pPr>
        <w:pStyle w:val="ListParagraph"/>
        <w:numPr>
          <w:ilvl w:val="0"/>
          <w:numId w:val="2"/>
        </w:numPr>
        <w:spacing w:before="40" w:after="40"/>
      </w:pPr>
      <w:r>
        <w:rPr>
          <w:rFonts w:ascii="Arial" w:cs="Arial" w:eastAsia="Arial" w:hAnsi="Arial"/>
          <w:color w:val="2C2C2C"/>
          <w:sz w:val="21"/>
          <w:szCs w:val="21"/>
        </w:rPr>
        <w:t xml:space="preserve">Right to Withdraw Consent — where processing is based on your consent, to withdraw it at any time without affecting the lawfulness of prior processing</w:t>
      </w:r>
    </w:p>
    <w:p>
      <w:pPr>
        <w:spacing w:before="60" w:after="80" w:line="320"/>
        <w:jc w:val="both"/>
      </w:pPr>
      <w:r>
        <w:rPr>
          <w:rFonts w:ascii="Arial" w:cs="Arial" w:eastAsia="Arial" w:hAnsi="Arial"/>
          <w:color w:val="2C2C2C"/>
          <w:sz w:val="21"/>
          <w:szCs w:val="21"/>
        </w:rPr>
        <w:t xml:space="preserve">To exercise any of the above rights, please contact us in writing at the address provided in Section 10. We will respond within 30 days of receipt of a valid request.</w:t>
      </w:r>
    </w:p>
    <w:p>
      <w:pPr>
        <w:pStyle w:val="Heading2"/>
        <w:spacing w:before="300" w:after="120"/>
      </w:pPr>
      <w:r>
        <w:rPr>
          <w:rFonts w:ascii="Arial" w:cs="Arial" w:eastAsia="Arial" w:hAnsi="Arial"/>
          <w:b/>
          <w:bCs/>
          <w:color w:val="1A2E4A"/>
          <w:sz w:val="26"/>
          <w:szCs w:val="26"/>
        </w:rPr>
        <w:t xml:space="preserve">9.  Data Security</w:t>
      </w:r>
    </w:p>
    <w:p>
      <w:pPr>
        <w:spacing w:before="60" w:after="80" w:line="320"/>
        <w:jc w:val="both"/>
      </w:pPr>
      <w:r>
        <w:rPr>
          <w:rFonts w:ascii="Arial" w:cs="Arial" w:eastAsia="Arial" w:hAnsi="Arial"/>
          <w:color w:val="2C2C2C"/>
          <w:sz w:val="21"/>
          <w:szCs w:val="21"/>
        </w:rPr>
        <w:t xml:space="preserve">Invictus implements appropriate technical and organisational measures to protect your personal information against unauthorised access, accidental loss, alteration, or disclosure. These measures include encrypted communications, access controls, secure server environments, and regular security reviews. However, no method of electronic transmission or storage is entirely secure, and we cannot guarantee absolute security.</w:t>
      </w:r>
    </w:p>
    <w:p>
      <w:pPr>
        <w:spacing w:before="60" w:after="80" w:line="320"/>
        <w:jc w:val="both"/>
      </w:pPr>
      <w:r>
        <w:rPr>
          <w:rFonts w:ascii="Arial" w:cs="Arial" w:eastAsia="Arial" w:hAnsi="Arial"/>
          <w:color w:val="2C2C2C"/>
          <w:sz w:val="21"/>
          <w:szCs w:val="21"/>
        </w:rPr>
        <w:t xml:space="preserve">In the event of a data breach that is likely to affect your rights, we will notify you and, where required, the relevant regulatory authority, without undue delay.</w:t>
      </w:r>
    </w:p>
    <w:p>
      <w:pPr>
        <w:pStyle w:val="Heading2"/>
        <w:spacing w:before="300" w:after="120"/>
      </w:pPr>
      <w:r>
        <w:rPr>
          <w:rFonts w:ascii="Arial" w:cs="Arial" w:eastAsia="Arial" w:hAnsi="Arial"/>
          <w:b/>
          <w:bCs/>
          <w:color w:val="1A2E4A"/>
          <w:sz w:val="26"/>
          <w:szCs w:val="26"/>
        </w:rPr>
        <w:t xml:space="preserve">10.  Contact Us — Privacy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4"/>
              <w:left w:val="single" w:color="1A2E4A" w:sz="4"/>
              <w:bottom w:val="single" w:color="1A2E4A" w:sz="4"/>
              <w:right w:val="single" w:color="1A2E4A" w:sz="4"/>
            </w:tcBorders>
            <w:shd w:fill="EEF2F7" w:val="clear"/>
            <w:tcMar>
              <w:top w:type="dxa" w:w="160"/>
              <w:left w:type="dxa" w:w="240"/>
              <w:bottom w:type="dxa" w:w="160"/>
              <w:right w:type="dxa" w:w="240"/>
            </w:tcMar>
          </w:tcPr>
          <w:p>
            <w:pPr>
              <w:spacing w:before="60" w:after="60"/>
            </w:pPr>
            <w:r>
              <w:rPr>
                <w:rFonts w:ascii="Arial" w:cs="Arial" w:eastAsia="Arial" w:hAnsi="Arial"/>
                <w:b w:val="false"/>
                <w:bCs w:val="false"/>
                <w:color w:val="1A2E4A"/>
                <w:sz w:val="21"/>
                <w:szCs w:val="21"/>
              </w:rPr>
              <w:t xml:space="preserve">  Invictus Corporate &amp; Legal Consultants</w:t>
            </w:r>
          </w:p>
          <w:p>
            <w:pPr>
              <w:spacing w:before="60" w:after="60"/>
            </w:pPr>
            <w:r>
              <w:rPr>
                <w:rFonts w:ascii="Arial" w:cs="Arial" w:eastAsia="Arial" w:hAnsi="Arial"/>
                <w:b w:val="false"/>
                <w:bCs w:val="false"/>
                <w:color w:val="1A2E4A"/>
                <w:sz w:val="21"/>
                <w:szCs w:val="21"/>
              </w:rPr>
              <w:t xml:space="preserve">  Attn: Data Privacy Officer</w:t>
            </w:r>
          </w:p>
          <w:p>
            <w:pPr>
              <w:spacing w:before="60" w:after="60"/>
            </w:pPr>
            <w:r>
              <w:rPr>
                <w:rFonts w:ascii="Arial" w:cs="Arial" w:eastAsia="Arial" w:hAnsi="Arial"/>
                <w:b w:val="false"/>
                <w:bCs w:val="false"/>
                <w:color w:val="1A2E4A"/>
                <w:sz w:val="21"/>
                <w:szCs w:val="21"/>
              </w:rPr>
              <w:t xml:space="preserve">  Email:  official@iclc.com.pk</w:t>
            </w:r>
          </w:p>
          <w:p>
            <w:pPr>
              <w:spacing w:before="60" w:after="60"/>
            </w:pPr>
            <w:r>
              <w:rPr>
                <w:rFonts w:ascii="Arial" w:cs="Arial" w:eastAsia="Arial" w:hAnsi="Arial"/>
                <w:b w:val="false"/>
                <w:bCs w:val="false"/>
                <w:color w:val="1A2E4A"/>
                <w:sz w:val="21"/>
                <w:szCs w:val="21"/>
              </w:rPr>
              <w:t xml:space="preserve">  Phone:  0313-4891684 / 0345-1042352</w:t>
            </w:r>
          </w:p>
          <w:p>
            <w:pPr>
              <w:spacing w:before="60" w:after="60"/>
            </w:pPr>
            <w:r>
              <w:rPr>
                <w:rFonts w:ascii="Arial" w:cs="Arial" w:eastAsia="Arial" w:hAnsi="Arial"/>
                <w:b w:val="false"/>
                <w:bCs w:val="false"/>
                <w:color w:val="1A2E4A"/>
                <w:sz w:val="21"/>
                <w:szCs w:val="21"/>
              </w:rPr>
              <w:t xml:space="preserve">  Address: Office No. 105, First Floor, Arif Building, 13-Fane Road, Near Lahore High Court, Lahore, Pakistan</w:t>
            </w:r>
          </w:p>
          <w:p>
            <w:pPr>
              <w:spacing w:before="60" w:after="60"/>
            </w:pPr>
            <w:r>
              <w:rPr>
                <w:rFonts w:ascii="Arial" w:cs="Arial" w:eastAsia="Arial" w:hAnsi="Arial"/>
                <w:b w:val="false"/>
                <w:bCs w:val="false"/>
                <w:color w:val="1A2E4A"/>
                <w:sz w:val="21"/>
                <w:szCs w:val="21"/>
              </w:rPr>
              <w:t xml:space="preserve"/>
            </w:r>
          </w:p>
          <w:p>
            <w:pPr>
              <w:spacing w:before="60" w:after="60"/>
            </w:pPr>
            <w:r>
              <w:rPr>
                <w:rFonts w:ascii="Arial" w:cs="Arial" w:eastAsia="Arial" w:hAnsi="Arial"/>
                <w:b w:val="false"/>
                <w:bCs w:val="false"/>
                <w:color w:val="1A2E4A"/>
                <w:sz w:val="21"/>
                <w:szCs w:val="21"/>
              </w:rPr>
              <w:t xml:space="preserve">  For urgent matters involving data breaches or attorney-client privilege concerns,</w:t>
            </w:r>
          </w:p>
          <w:p>
            <w:pPr>
              <w:spacing w:before="60" w:after="60"/>
            </w:pPr>
            <w:r>
              <w:rPr>
                <w:rFonts w:ascii="Arial" w:cs="Arial" w:eastAsia="Arial" w:hAnsi="Arial"/>
                <w:b w:val="false"/>
                <w:bCs w:val="false"/>
                <w:color w:val="1A2E4A"/>
                <w:sz w:val="21"/>
                <w:szCs w:val="21"/>
              </w:rPr>
              <w:t xml:space="preserve">  please contact us by telephone during business hours: Mon–Sat, 9:00 AM – 6:00 PM PKT.</w:t>
            </w:r>
          </w:p>
        </w:tc>
      </w:tr>
    </w:tbl>
    <w:p>
      <w:pPr>
        <w:spacing w:before="200" w:after="0"/>
      </w:pPr>
    </w:p>
    <w:p>
      <w:r>
        <w:br w:type="page"/>
      </w:r>
    </w:p>
    <w:p>
      <w:pPr>
        <w:pStyle w:val="Heading1"/>
        <w:pBdr>
          <w:bottom w:val="single" w:color="B8960C" w:sz="8" w:space="4"/>
        </w:pBdr>
        <w:spacing w:before="400" w:after="160"/>
      </w:pPr>
      <w:r>
        <w:rPr>
          <w:rFonts w:ascii="Arial" w:cs="Arial" w:eastAsia="Arial" w:hAnsi="Arial"/>
          <w:b/>
          <w:bCs/>
          <w:color w:val="1A2E4A"/>
          <w:sz w:val="34"/>
          <w:szCs w:val="34"/>
        </w:rPr>
        <w:t xml:space="preserve">PART II — TERMS OF SERVICE</w:t>
      </w:r>
    </w:p>
    <w:p>
      <w:pPr>
        <w:spacing w:before="60" w:after="80" w:line="320"/>
        <w:jc w:val="both"/>
      </w:pPr>
      <w:r>
        <w:rPr>
          <w:rFonts w:ascii="Arial" w:cs="Arial" w:eastAsia="Arial" w:hAnsi="Arial"/>
          <w:color w:val="2C2C2C"/>
          <w:sz w:val="21"/>
          <w:szCs w:val="21"/>
        </w:rPr>
        <w:t xml:space="preserve">These Terms of Service ("Terms") constitute a legally binding agreement between you ("User", "Client", or "you") and Invictus Corporate &amp; Legal Consultants ("Invictus", "the Firm", "we", or "our") governing your access to and use of this Website and the professional services described herein. By accessing this Website, you confirm that you have read, understood, and agree to be bound by these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60C" w:sz="6"/>
              <w:left w:val="single" w:color="B8960C" w:sz="6"/>
              <w:bottom w:val="single" w:color="B8960C" w:sz="6"/>
              <w:right w:val="single" w:color="B8960C" w:sz="6"/>
            </w:tcBorders>
            <w:shd w:fill="FFFBF0" w:val="clear"/>
            <w:tcMar>
              <w:top w:type="dxa" w:w="160"/>
              <w:left w:type="dxa" w:w="240"/>
              <w:bottom w:type="dxa" w:w="160"/>
              <w:right w:type="dxa" w:w="240"/>
            </w:tcMar>
          </w:tcPr>
          <w:p>
            <w:pPr>
              <w:spacing w:before="60" w:after="60"/>
            </w:pPr>
            <w:r>
              <w:rPr>
                <w:rFonts w:ascii="Arial" w:cs="Arial" w:eastAsia="Arial" w:hAnsi="Arial"/>
                <w:color w:val="4A3800"/>
                <w:sz w:val="21"/>
                <w:szCs w:val="21"/>
              </w:rPr>
              <w:t xml:space="preserve">   IMPORTANT: If you do not agree to these Terms, please discontinue use of this Website</w:t>
            </w:r>
          </w:p>
          <w:p>
            <w:pPr>
              <w:spacing w:before="60" w:after="60"/>
            </w:pPr>
            <w:r>
              <w:rPr>
                <w:rFonts w:ascii="Arial" w:cs="Arial" w:eastAsia="Arial" w:hAnsi="Arial"/>
                <w:color w:val="4A3800"/>
                <w:sz w:val="21"/>
                <w:szCs w:val="21"/>
              </w:rPr>
              <w:t xml:space="preserve">   immediately. These Terms are governed by the laws of the Islamic Republic of Pakistan.</w:t>
            </w:r>
          </w:p>
          <w:p>
            <w:pPr>
              <w:spacing w:before="60" w:after="60"/>
            </w:pPr>
            <w:r>
              <w:rPr>
                <w:rFonts w:ascii="Arial" w:cs="Arial" w:eastAsia="Arial" w:hAnsi="Arial"/>
                <w:color w:val="4A3800"/>
                <w:sz w:val="21"/>
                <w:szCs w:val="21"/>
              </w:rPr>
              <w:t xml:space="preserve">   Any dispute arising hereunder shall be subject to the exclusive jurisdiction of the</w:t>
            </w:r>
          </w:p>
          <w:p>
            <w:pPr>
              <w:spacing w:before="60" w:after="60"/>
            </w:pPr>
            <w:r>
              <w:rPr>
                <w:rFonts w:ascii="Arial" w:cs="Arial" w:eastAsia="Arial" w:hAnsi="Arial"/>
                <w:color w:val="4A3800"/>
                <w:sz w:val="21"/>
                <w:szCs w:val="21"/>
              </w:rPr>
              <w:t xml:space="preserve">   courts of Lahore, Pakistan.</w:t>
            </w:r>
          </w:p>
        </w:tc>
      </w:tr>
    </w:tbl>
    <w:p>
      <w:pPr>
        <w:pStyle w:val="Heading2"/>
        <w:spacing w:before="300" w:after="120"/>
      </w:pPr>
      <w:r>
        <w:rPr>
          <w:rFonts w:ascii="Arial" w:cs="Arial" w:eastAsia="Arial" w:hAnsi="Arial"/>
          <w:b/>
          <w:bCs/>
          <w:color w:val="1A2E4A"/>
          <w:sz w:val="26"/>
          <w:szCs w:val="26"/>
        </w:rPr>
        <w:t xml:space="preserve">1.  Acceptance of Terms</w:t>
      </w:r>
    </w:p>
    <w:p>
      <w:pPr>
        <w:spacing w:before="60" w:after="80" w:line="320"/>
        <w:jc w:val="both"/>
      </w:pPr>
      <w:r>
        <w:rPr>
          <w:rFonts w:ascii="Arial" w:cs="Arial" w:eastAsia="Arial" w:hAnsi="Arial"/>
          <w:color w:val="2C2C2C"/>
          <w:sz w:val="21"/>
          <w:szCs w:val="21"/>
        </w:rPr>
        <w:t xml:space="preserve">Your continued use of this Website constitutes your ongoing acceptance of these Terms and any future amendments thereto. We reserve the right to update these Terms at our discretion. Material changes will be published on this page with an updated effective date. It is your responsibility to review these Terms periodically.</w:t>
      </w:r>
    </w:p>
    <w:p>
      <w:pPr>
        <w:pStyle w:val="Heading2"/>
        <w:spacing w:before="300" w:after="120"/>
      </w:pPr>
      <w:r>
        <w:rPr>
          <w:rFonts w:ascii="Arial" w:cs="Arial" w:eastAsia="Arial" w:hAnsi="Arial"/>
          <w:b/>
          <w:bCs/>
          <w:color w:val="1A2E4A"/>
          <w:sz w:val="26"/>
          <w:szCs w:val="26"/>
        </w:rPr>
        <w:t xml:space="preserve">2.  Nature of Services &amp; No Attorney-Client Relationship</w:t>
      </w:r>
    </w:p>
    <w:p>
      <w:pPr>
        <w:spacing w:before="60" w:after="80" w:line="320"/>
        <w:jc w:val="both"/>
      </w:pPr>
      <w:r>
        <w:rPr>
          <w:rFonts w:ascii="Arial" w:cs="Arial" w:eastAsia="Arial" w:hAnsi="Arial"/>
          <w:color w:val="2C2C2C"/>
          <w:sz w:val="21"/>
          <w:szCs w:val="21"/>
        </w:rPr>
        <w:t xml:space="preserve">The content available on this Website — including articles, publications, FAQs, and general information — is provided for informational purposes only and does not constitute legal advice. Reading, downloading, or interacting with Website content does not create an attorney-client relationship between you and Invictus.</w:t>
      </w:r>
    </w:p>
    <w:p>
      <w:pPr>
        <w:spacing w:before="60" w:after="80" w:line="320"/>
        <w:jc w:val="both"/>
      </w:pPr>
      <w:r>
        <w:rPr>
          <w:rFonts w:ascii="Arial" w:cs="Arial" w:eastAsia="Arial" w:hAnsi="Arial"/>
          <w:color w:val="2C2C2C"/>
          <w:sz w:val="21"/>
          <w:szCs w:val="21"/>
        </w:rPr>
        <w:t xml:space="preserve">An attorney-client relationship is established only upon the execution of a formal Client Engagement Letter (Retainer Agreement) signed by an authorised representative of Invictus and the client. Until such agreement is in place, no information shared through this Website should be treated as confidential from a legal privilege standpoint, and Invictus assumes no legal obligations or duties of care arising from Website interactions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4"/>
              <w:left w:val="single" w:color="1A2E4A" w:sz="4"/>
              <w:bottom w:val="single" w:color="1A2E4A" w:sz="4"/>
              <w:right w:val="single" w:color="1A2E4A" w:sz="4"/>
            </w:tcBorders>
            <w:shd w:fill="EEF2F7" w:val="clear"/>
            <w:tcMar>
              <w:top w:type="dxa" w:w="160"/>
              <w:left w:type="dxa" w:w="240"/>
              <w:bottom w:type="dxa" w:w="160"/>
              <w:right w:type="dxa" w:w="240"/>
            </w:tcMar>
          </w:tcPr>
          <w:p>
            <w:pPr>
              <w:spacing w:before="60" w:after="60"/>
            </w:pPr>
            <w:r>
              <w:rPr>
                <w:rFonts w:ascii="Arial" w:cs="Arial" w:eastAsia="Arial" w:hAnsi="Arial"/>
                <w:b/>
                <w:bCs/>
                <w:color w:val="1A2E4A"/>
                <w:sz w:val="21"/>
                <w:szCs w:val="21"/>
              </w:rPr>
              <w:t xml:space="preserve">⚖  Disclaimer of Legal Advice</w:t>
            </w:r>
          </w:p>
          <w:p>
            <w:pPr>
              <w:spacing w:before="60" w:after="60"/>
            </w:pPr>
            <w:r>
              <w:rPr>
                <w:rFonts w:ascii="Arial" w:cs="Arial" w:eastAsia="Arial" w:hAnsi="Arial"/>
                <w:b w:val="false"/>
                <w:bCs w:val="false"/>
                <w:color w:val="1A2E4A"/>
                <w:sz w:val="21"/>
                <w:szCs w:val="21"/>
              </w:rPr>
              <w:t xml:space="preserve"/>
            </w:r>
          </w:p>
          <w:p>
            <w:pPr>
              <w:spacing w:before="60" w:after="60"/>
            </w:pPr>
            <w:r>
              <w:rPr>
                <w:rFonts w:ascii="Arial" w:cs="Arial" w:eastAsia="Arial" w:hAnsi="Arial"/>
                <w:b w:val="false"/>
                <w:bCs w:val="false"/>
                <w:color w:val="1A2E4A"/>
                <w:sz w:val="21"/>
                <w:szCs w:val="21"/>
              </w:rPr>
              <w:t xml:space="preserve">   The information on this Website is general in nature and may not reflect current</w:t>
            </w:r>
          </w:p>
          <w:p>
            <w:pPr>
              <w:spacing w:before="60" w:after="60"/>
            </w:pPr>
            <w:r>
              <w:rPr>
                <w:rFonts w:ascii="Arial" w:cs="Arial" w:eastAsia="Arial" w:hAnsi="Arial"/>
                <w:b w:val="false"/>
                <w:bCs w:val="false"/>
                <w:color w:val="1A2E4A"/>
                <w:sz w:val="21"/>
                <w:szCs w:val="21"/>
              </w:rPr>
              <w:t xml:space="preserve">   legal developments. It should not be relied upon as a substitute for specific</w:t>
            </w:r>
          </w:p>
          <w:p>
            <w:pPr>
              <w:spacing w:before="60" w:after="60"/>
            </w:pPr>
            <w:r>
              <w:rPr>
                <w:rFonts w:ascii="Arial" w:cs="Arial" w:eastAsia="Arial" w:hAnsi="Arial"/>
                <w:b w:val="false"/>
                <w:bCs w:val="false"/>
                <w:color w:val="1A2E4A"/>
                <w:sz w:val="21"/>
                <w:szCs w:val="21"/>
              </w:rPr>
              <w:t xml:space="preserve">   legal advice tailored to your individual circumstances. Always consult a qualified</w:t>
            </w:r>
          </w:p>
          <w:p>
            <w:pPr>
              <w:spacing w:before="60" w:after="60"/>
            </w:pPr>
            <w:r>
              <w:rPr>
                <w:rFonts w:ascii="Arial" w:cs="Arial" w:eastAsia="Arial" w:hAnsi="Arial"/>
                <w:b w:val="false"/>
                <w:bCs w:val="false"/>
                <w:color w:val="1A2E4A"/>
                <w:sz w:val="21"/>
                <w:szCs w:val="21"/>
              </w:rPr>
              <w:t xml:space="preserve">   legal professional before taking or refraining from any legal action.</w:t>
            </w:r>
          </w:p>
        </w:tc>
      </w:tr>
    </w:tbl>
    <w:p>
      <w:pPr>
        <w:pStyle w:val="Heading2"/>
        <w:spacing w:before="300" w:after="120"/>
      </w:pPr>
      <w:r>
        <w:rPr>
          <w:rFonts w:ascii="Arial" w:cs="Arial" w:eastAsia="Arial" w:hAnsi="Arial"/>
          <w:b/>
          <w:bCs/>
          <w:color w:val="1A2E4A"/>
          <w:sz w:val="26"/>
          <w:szCs w:val="26"/>
        </w:rPr>
        <w:t xml:space="preserve">3.  Permitted Use of This Website</w:t>
      </w:r>
    </w:p>
    <w:p>
      <w:pPr>
        <w:spacing w:before="60" w:after="80" w:line="320"/>
        <w:jc w:val="both"/>
      </w:pPr>
      <w:r>
        <w:rPr>
          <w:rFonts w:ascii="Arial" w:cs="Arial" w:eastAsia="Arial" w:hAnsi="Arial"/>
          <w:color w:val="2C2C2C"/>
          <w:sz w:val="21"/>
          <w:szCs w:val="21"/>
        </w:rPr>
        <w:t xml:space="preserve">You are granted a limited, non-exclusive, non-transferable, and revocable licence to access and use this Website for lawful personal or professional information-gathering purposes. In using this Website, you agree that you shall not:</w:t>
      </w:r>
    </w:p>
    <w:p>
      <w:pPr>
        <w:pStyle w:val="ListParagraph"/>
        <w:numPr>
          <w:ilvl w:val="0"/>
          <w:numId w:val="2"/>
        </w:numPr>
        <w:spacing w:before="40" w:after="40"/>
      </w:pPr>
      <w:r>
        <w:rPr>
          <w:rFonts w:ascii="Arial" w:cs="Arial" w:eastAsia="Arial" w:hAnsi="Arial"/>
          <w:color w:val="2C2C2C"/>
          <w:sz w:val="21"/>
          <w:szCs w:val="21"/>
        </w:rPr>
        <w:t xml:space="preserve">Use the Website for any purpose that is unlawful or prohibited by these Terms</w:t>
      </w:r>
    </w:p>
    <w:p>
      <w:pPr>
        <w:pStyle w:val="ListParagraph"/>
        <w:numPr>
          <w:ilvl w:val="0"/>
          <w:numId w:val="2"/>
        </w:numPr>
        <w:spacing w:before="40" w:after="40"/>
      </w:pPr>
      <w:r>
        <w:rPr>
          <w:rFonts w:ascii="Arial" w:cs="Arial" w:eastAsia="Arial" w:hAnsi="Arial"/>
          <w:color w:val="2C2C2C"/>
          <w:sz w:val="21"/>
          <w:szCs w:val="21"/>
        </w:rPr>
        <w:t xml:space="preserve">Attempt to gain unauthorised access to any system, server, or database associated with this Website</w:t>
      </w:r>
    </w:p>
    <w:p>
      <w:pPr>
        <w:pStyle w:val="ListParagraph"/>
        <w:numPr>
          <w:ilvl w:val="0"/>
          <w:numId w:val="2"/>
        </w:numPr>
        <w:spacing w:before="40" w:after="40"/>
      </w:pPr>
      <w:r>
        <w:rPr>
          <w:rFonts w:ascii="Arial" w:cs="Arial" w:eastAsia="Arial" w:hAnsi="Arial"/>
          <w:color w:val="2C2C2C"/>
          <w:sz w:val="21"/>
          <w:szCs w:val="21"/>
        </w:rPr>
        <w:t xml:space="preserve">Transmit any malware, ransomware, spyware, or other malicious code</w:t>
      </w:r>
    </w:p>
    <w:p>
      <w:pPr>
        <w:pStyle w:val="ListParagraph"/>
        <w:numPr>
          <w:ilvl w:val="0"/>
          <w:numId w:val="2"/>
        </w:numPr>
        <w:spacing w:before="40" w:after="40"/>
      </w:pPr>
      <w:r>
        <w:rPr>
          <w:rFonts w:ascii="Arial" w:cs="Arial" w:eastAsia="Arial" w:hAnsi="Arial"/>
          <w:color w:val="2C2C2C"/>
          <w:sz w:val="21"/>
          <w:szCs w:val="21"/>
        </w:rPr>
        <w:t xml:space="preserve">Scrape, harvest, or systematically extract data from this Website by automated means</w:t>
      </w:r>
    </w:p>
    <w:p>
      <w:pPr>
        <w:pStyle w:val="ListParagraph"/>
        <w:numPr>
          <w:ilvl w:val="0"/>
          <w:numId w:val="2"/>
        </w:numPr>
        <w:spacing w:before="40" w:after="40"/>
      </w:pPr>
      <w:r>
        <w:rPr>
          <w:rFonts w:ascii="Arial" w:cs="Arial" w:eastAsia="Arial" w:hAnsi="Arial"/>
          <w:color w:val="2C2C2C"/>
          <w:sz w:val="21"/>
          <w:szCs w:val="21"/>
        </w:rPr>
        <w:t xml:space="preserve">Impersonate Invictus, its personnel, or any other person or entity</w:t>
      </w:r>
    </w:p>
    <w:p>
      <w:pPr>
        <w:pStyle w:val="ListParagraph"/>
        <w:numPr>
          <w:ilvl w:val="0"/>
          <w:numId w:val="2"/>
        </w:numPr>
        <w:spacing w:before="40" w:after="40"/>
      </w:pPr>
      <w:r>
        <w:rPr>
          <w:rFonts w:ascii="Arial" w:cs="Arial" w:eastAsia="Arial" w:hAnsi="Arial"/>
          <w:color w:val="2C2C2C"/>
          <w:sz w:val="21"/>
          <w:szCs w:val="21"/>
        </w:rPr>
        <w:t xml:space="preserve">Use this Website to solicit clients of Invictus or recruit its personnel</w:t>
      </w:r>
    </w:p>
    <w:p>
      <w:pPr>
        <w:pStyle w:val="ListParagraph"/>
        <w:numPr>
          <w:ilvl w:val="0"/>
          <w:numId w:val="2"/>
        </w:numPr>
        <w:spacing w:before="40" w:after="40"/>
      </w:pPr>
      <w:r>
        <w:rPr>
          <w:rFonts w:ascii="Arial" w:cs="Arial" w:eastAsia="Arial" w:hAnsi="Arial"/>
          <w:color w:val="2C2C2C"/>
          <w:sz w:val="21"/>
          <w:szCs w:val="21"/>
        </w:rPr>
        <w:t xml:space="preserve">Publish or transmit any content that is defamatory, harassing, obscene, or in violation of any third-party rights</w:t>
      </w:r>
    </w:p>
    <w:p>
      <w:pPr>
        <w:pStyle w:val="ListParagraph"/>
        <w:numPr>
          <w:ilvl w:val="0"/>
          <w:numId w:val="2"/>
        </w:numPr>
        <w:spacing w:before="40" w:after="40"/>
      </w:pPr>
      <w:r>
        <w:rPr>
          <w:rFonts w:ascii="Arial" w:cs="Arial" w:eastAsia="Arial" w:hAnsi="Arial"/>
          <w:color w:val="2C2C2C"/>
          <w:sz w:val="21"/>
          <w:szCs w:val="21"/>
        </w:rPr>
        <w:t xml:space="preserve">Engage in any conduct that disrupts, overburdens, or impairs the functionality of the Website</w:t>
      </w:r>
    </w:p>
    <w:p>
      <w:pPr>
        <w:pStyle w:val="Heading2"/>
        <w:spacing w:before="300" w:after="120"/>
      </w:pPr>
      <w:r>
        <w:rPr>
          <w:rFonts w:ascii="Arial" w:cs="Arial" w:eastAsia="Arial" w:hAnsi="Arial"/>
          <w:b/>
          <w:bCs/>
          <w:color w:val="1A2E4A"/>
          <w:sz w:val="26"/>
          <w:szCs w:val="26"/>
        </w:rPr>
        <w:t xml:space="preserve">4.  Intellectual Property</w:t>
      </w:r>
    </w:p>
    <w:p>
      <w:pPr>
        <w:spacing w:before="60" w:after="80" w:line="320"/>
        <w:jc w:val="both"/>
      </w:pPr>
      <w:r>
        <w:rPr>
          <w:rFonts w:ascii="Arial" w:cs="Arial" w:eastAsia="Arial" w:hAnsi="Arial"/>
          <w:color w:val="2C2C2C"/>
          <w:sz w:val="21"/>
          <w:szCs w:val="21"/>
        </w:rPr>
        <w:t xml:space="preserve">All content on this Website — including but not limited to text, graphics, logos, icons, images, legal articles, templates, and software — is the exclusive intellectual property of Invictus Corporate &amp; Legal Consultants or its licensed contributors, and is protected under the Copyright Ordinance, 1962 (Pakistan) and applicable international intellectual property law.</w:t>
      </w:r>
    </w:p>
    <w:p>
      <w:pPr>
        <w:spacing w:before="60" w:after="80" w:line="320"/>
        <w:jc w:val="both"/>
      </w:pPr>
      <w:r>
        <w:rPr>
          <w:rFonts w:ascii="Arial" w:cs="Arial" w:eastAsia="Arial" w:hAnsi="Arial"/>
          <w:color w:val="2C2C2C"/>
          <w:sz w:val="21"/>
          <w:szCs w:val="21"/>
        </w:rPr>
        <w:t xml:space="preserve">You may not reproduce, republish, distribute, transmit, display, perform, or adapt any content from this Website without the prior written consent of Invictus. Limited personal, non-commercial use is permitted provided that attribution to Invictus is clearly stated and no modifications are made to the content.</w:t>
      </w:r>
    </w:p>
    <w:p>
      <w:pPr>
        <w:pStyle w:val="Heading2"/>
        <w:spacing w:before="300" w:after="120"/>
      </w:pPr>
      <w:r>
        <w:rPr>
          <w:rFonts w:ascii="Arial" w:cs="Arial" w:eastAsia="Arial" w:hAnsi="Arial"/>
          <w:b/>
          <w:bCs/>
          <w:color w:val="1A2E4A"/>
          <w:sz w:val="26"/>
          <w:szCs w:val="26"/>
        </w:rPr>
        <w:t xml:space="preserve">5.  Confidentiality of Communications &amp; Submissions</w:t>
      </w:r>
    </w:p>
    <w:p>
      <w:pPr>
        <w:spacing w:before="60" w:after="80" w:line="320"/>
        <w:jc w:val="both"/>
      </w:pPr>
      <w:r>
        <w:rPr>
          <w:rFonts w:ascii="Arial" w:cs="Arial" w:eastAsia="Arial" w:hAnsi="Arial"/>
          <w:color w:val="2C2C2C"/>
          <w:sz w:val="21"/>
          <w:szCs w:val="21"/>
        </w:rPr>
        <w:t xml:space="preserve">While we take data security seriously (see Privacy Policy, Section 9), any information submitted through this Website prior to the establishment of a formal attorney-client relationship is not automatically treated as privileged or confidential under applicable law. We encourage you to avoid sharing highly sensitive information through general website forms.</w:t>
      </w:r>
    </w:p>
    <w:p>
      <w:pPr>
        <w:spacing w:before="60" w:after="80" w:line="320"/>
        <w:jc w:val="both"/>
      </w:pPr>
      <w:r>
        <w:rPr>
          <w:rFonts w:ascii="Arial" w:cs="Arial" w:eastAsia="Arial" w:hAnsi="Arial"/>
          <w:color w:val="2C2C2C"/>
          <w:sz w:val="21"/>
          <w:szCs w:val="21"/>
        </w:rPr>
        <w:t xml:space="preserve">Once a formal engagement is established, all communications between you and the Firm are governed by the confidentiality obligations set out in your Client Engagement Letter and the professional conduct rules binding our legal practitioners.</w:t>
      </w:r>
    </w:p>
    <w:p>
      <w:pPr>
        <w:pStyle w:val="Heading2"/>
        <w:spacing w:before="300" w:after="120"/>
      </w:pPr>
      <w:r>
        <w:rPr>
          <w:rFonts w:ascii="Arial" w:cs="Arial" w:eastAsia="Arial" w:hAnsi="Arial"/>
          <w:b/>
          <w:bCs/>
          <w:color w:val="1A2E4A"/>
          <w:sz w:val="26"/>
          <w:szCs w:val="26"/>
        </w:rPr>
        <w:t xml:space="preserve">6.  Third-Party Links &amp; External Content</w:t>
      </w:r>
    </w:p>
    <w:p>
      <w:pPr>
        <w:spacing w:before="60" w:after="80" w:line="320"/>
        <w:jc w:val="both"/>
      </w:pPr>
      <w:r>
        <w:rPr>
          <w:rFonts w:ascii="Arial" w:cs="Arial" w:eastAsia="Arial" w:hAnsi="Arial"/>
          <w:color w:val="2C2C2C"/>
          <w:sz w:val="21"/>
          <w:szCs w:val="21"/>
        </w:rPr>
        <w:t xml:space="preserve">This Website may contain hyperlinks to third-party websites for reference or convenience. Invictus does not endorse, control, or take responsibility for the content, privacy practices, or availability of such external sites. Access to third-party websites is at your own risk, and we encourage you to review the applicable terms and policies of any external site you visit.</w:t>
      </w:r>
    </w:p>
    <w:p>
      <w:pPr>
        <w:pStyle w:val="Heading2"/>
        <w:spacing w:before="300" w:after="120"/>
      </w:pPr>
      <w:r>
        <w:rPr>
          <w:rFonts w:ascii="Arial" w:cs="Arial" w:eastAsia="Arial" w:hAnsi="Arial"/>
          <w:b/>
          <w:bCs/>
          <w:color w:val="1A2E4A"/>
          <w:sz w:val="26"/>
          <w:szCs w:val="26"/>
        </w:rPr>
        <w:t xml:space="preserve">7.  Limitation of Liability</w:t>
      </w:r>
    </w:p>
    <w:p>
      <w:pPr>
        <w:spacing w:before="60" w:after="80" w:line="320"/>
        <w:jc w:val="both"/>
      </w:pPr>
      <w:r>
        <w:rPr>
          <w:rFonts w:ascii="Arial" w:cs="Arial" w:eastAsia="Arial" w:hAnsi="Arial"/>
          <w:color w:val="2C2C2C"/>
          <w:sz w:val="21"/>
          <w:szCs w:val="21"/>
        </w:rPr>
        <w:t xml:space="preserve">To the fullest extent permitted by applicable Pakistani law, Invictus Corporate &amp; Legal Consultants, its partners, associates, employees, and agents shall not be liable for any direct, indirect, incidental, consequential, punitive, or exemplary damages arising out of or related to:</w:t>
      </w:r>
    </w:p>
    <w:p>
      <w:pPr>
        <w:pStyle w:val="ListParagraph"/>
        <w:numPr>
          <w:ilvl w:val="0"/>
          <w:numId w:val="2"/>
        </w:numPr>
        <w:spacing w:before="40" w:after="40"/>
      </w:pPr>
      <w:r>
        <w:rPr>
          <w:rFonts w:ascii="Arial" w:cs="Arial" w:eastAsia="Arial" w:hAnsi="Arial"/>
          <w:color w:val="2C2C2C"/>
          <w:sz w:val="21"/>
          <w:szCs w:val="21"/>
        </w:rPr>
        <w:t xml:space="preserve">Your use of or inability to use this Website</w:t>
      </w:r>
    </w:p>
    <w:p>
      <w:pPr>
        <w:pStyle w:val="ListParagraph"/>
        <w:numPr>
          <w:ilvl w:val="0"/>
          <w:numId w:val="2"/>
        </w:numPr>
        <w:spacing w:before="40" w:after="40"/>
      </w:pPr>
      <w:r>
        <w:rPr>
          <w:rFonts w:ascii="Arial" w:cs="Arial" w:eastAsia="Arial" w:hAnsi="Arial"/>
          <w:color w:val="2C2C2C"/>
          <w:sz w:val="21"/>
          <w:szCs w:val="21"/>
        </w:rPr>
        <w:t xml:space="preserve">Reliance on any information provided on this Website</w:t>
      </w:r>
    </w:p>
    <w:p>
      <w:pPr>
        <w:pStyle w:val="ListParagraph"/>
        <w:numPr>
          <w:ilvl w:val="0"/>
          <w:numId w:val="2"/>
        </w:numPr>
        <w:spacing w:before="40" w:after="40"/>
      </w:pPr>
      <w:r>
        <w:rPr>
          <w:rFonts w:ascii="Arial" w:cs="Arial" w:eastAsia="Arial" w:hAnsi="Arial"/>
          <w:color w:val="2C2C2C"/>
          <w:sz w:val="21"/>
          <w:szCs w:val="21"/>
        </w:rPr>
        <w:t xml:space="preserve">Unauthorised access to or alteration of your data</w:t>
      </w:r>
    </w:p>
    <w:p>
      <w:pPr>
        <w:pStyle w:val="ListParagraph"/>
        <w:numPr>
          <w:ilvl w:val="0"/>
          <w:numId w:val="2"/>
        </w:numPr>
        <w:spacing w:before="40" w:after="40"/>
      </w:pPr>
      <w:r>
        <w:rPr>
          <w:rFonts w:ascii="Arial" w:cs="Arial" w:eastAsia="Arial" w:hAnsi="Arial"/>
          <w:color w:val="2C2C2C"/>
          <w:sz w:val="21"/>
          <w:szCs w:val="21"/>
        </w:rPr>
        <w:t xml:space="preserve">Any technical errors, interruptions, or failures of the Website</w:t>
      </w:r>
    </w:p>
    <w:p>
      <w:pPr>
        <w:pStyle w:val="ListParagraph"/>
        <w:numPr>
          <w:ilvl w:val="0"/>
          <w:numId w:val="2"/>
        </w:numPr>
        <w:spacing w:before="40" w:after="40"/>
      </w:pPr>
      <w:r>
        <w:rPr>
          <w:rFonts w:ascii="Arial" w:cs="Arial" w:eastAsia="Arial" w:hAnsi="Arial"/>
          <w:color w:val="2C2C2C"/>
          <w:sz w:val="21"/>
          <w:szCs w:val="21"/>
        </w:rPr>
        <w:t xml:space="preserve">Any matter beyond the reasonable control of Invictus</w:t>
      </w:r>
    </w:p>
    <w:p>
      <w:pPr>
        <w:spacing w:before="60" w:after="80" w:line="320"/>
        <w:jc w:val="both"/>
      </w:pPr>
      <w:r>
        <w:rPr>
          <w:rFonts w:ascii="Arial" w:cs="Arial" w:eastAsia="Arial" w:hAnsi="Arial"/>
          <w:color w:val="2C2C2C"/>
          <w:sz w:val="21"/>
          <w:szCs w:val="21"/>
        </w:rPr>
        <w:t xml:space="preserve">This limitation of liability shall not apply where Invictus has entered into a formal client engagement and liability arises from gross negligence, wilful misconduct, or fraud on the part of the Firm.</w:t>
      </w:r>
    </w:p>
    <w:p>
      <w:pPr>
        <w:pStyle w:val="Heading2"/>
        <w:spacing w:before="300" w:after="120"/>
      </w:pPr>
      <w:r>
        <w:rPr>
          <w:rFonts w:ascii="Arial" w:cs="Arial" w:eastAsia="Arial" w:hAnsi="Arial"/>
          <w:b/>
          <w:bCs/>
          <w:color w:val="1A2E4A"/>
          <w:sz w:val="26"/>
          <w:szCs w:val="26"/>
        </w:rPr>
        <w:t xml:space="preserve">8.  Indemnification</w:t>
      </w:r>
    </w:p>
    <w:p>
      <w:pPr>
        <w:spacing w:before="60" w:after="80" w:line="320"/>
        <w:jc w:val="both"/>
      </w:pPr>
      <w:r>
        <w:rPr>
          <w:rFonts w:ascii="Arial" w:cs="Arial" w:eastAsia="Arial" w:hAnsi="Arial"/>
          <w:color w:val="2C2C2C"/>
          <w:sz w:val="21"/>
          <w:szCs w:val="21"/>
        </w:rPr>
        <w:t xml:space="preserve">You agree to indemnify, defend, and hold harmless Invictus Corporate &amp; Legal Consultants, its partners, associates, officers, employees, and agents from and against any and all claims, liabilities, damages, losses, costs, and expenses (including reasonable legal fees) arising from: (i) your use or misuse of this Website; (ii) your violation of these Terms; (iii) your infringement of any third-party rights; or (iv) your violation of any applicable law or regulation.</w:t>
      </w:r>
    </w:p>
    <w:p>
      <w:pPr>
        <w:pStyle w:val="Heading2"/>
        <w:spacing w:before="300" w:after="120"/>
      </w:pPr>
      <w:r>
        <w:rPr>
          <w:rFonts w:ascii="Arial" w:cs="Arial" w:eastAsia="Arial" w:hAnsi="Arial"/>
          <w:b/>
          <w:bCs/>
          <w:color w:val="1A2E4A"/>
          <w:sz w:val="26"/>
          <w:szCs w:val="26"/>
        </w:rPr>
        <w:t xml:space="preserve">9.  Professional Conduct &amp; Regulatory Compliance</w:t>
      </w:r>
    </w:p>
    <w:p>
      <w:pPr>
        <w:spacing w:before="60" w:after="80" w:line="320"/>
        <w:jc w:val="both"/>
      </w:pPr>
      <w:r>
        <w:rPr>
          <w:rFonts w:ascii="Arial" w:cs="Arial" w:eastAsia="Arial" w:hAnsi="Arial"/>
          <w:color w:val="2C2C2C"/>
          <w:sz w:val="21"/>
          <w:szCs w:val="21"/>
        </w:rPr>
        <w:t xml:space="preserve">Invictus Corporate &amp; Legal Consultants operates in full compliance with the Legal Practitioners and Bar Councils Act, 1973, the rules of the Pakistan Bar Council, and all applicable statutory and regulatory requirements. Our legal practitioners are bound by professional conduct obligations including competence, confidentiality, conflict avoidance, and candour. Nothing in these Terms limits or overrides those professional duties.</w:t>
      </w:r>
    </w:p>
    <w:p>
      <w:pPr>
        <w:spacing w:before="60" w:after="80" w:line="320"/>
        <w:jc w:val="both"/>
      </w:pPr>
      <w:r>
        <w:rPr>
          <w:rFonts w:ascii="Arial" w:cs="Arial" w:eastAsia="Arial" w:hAnsi="Arial"/>
          <w:color w:val="2C2C2C"/>
          <w:sz w:val="21"/>
          <w:szCs w:val="21"/>
        </w:rPr>
        <w:t xml:space="preserve">Clients engaging our services are advised that we conduct mandatory Know Your Client (KYC) and Anti-Money Laundering (AML) checks in accordance with the Anti-Money Laundering Act, 2010 and FATF recommendations applicable in Pakistan.</w:t>
      </w:r>
    </w:p>
    <w:p>
      <w:pPr>
        <w:pStyle w:val="Heading2"/>
        <w:spacing w:before="300" w:after="120"/>
      </w:pPr>
      <w:r>
        <w:rPr>
          <w:rFonts w:ascii="Arial" w:cs="Arial" w:eastAsia="Arial" w:hAnsi="Arial"/>
          <w:b/>
          <w:bCs/>
          <w:color w:val="1A2E4A"/>
          <w:sz w:val="26"/>
          <w:szCs w:val="26"/>
        </w:rPr>
        <w:t xml:space="preserve">10.  Fees, Engagement &amp; Payment</w:t>
      </w:r>
    </w:p>
    <w:p>
      <w:pPr>
        <w:spacing w:before="60" w:after="80" w:line="320"/>
        <w:jc w:val="both"/>
      </w:pPr>
      <w:r>
        <w:rPr>
          <w:rFonts w:ascii="Arial" w:cs="Arial" w:eastAsia="Arial" w:hAnsi="Arial"/>
          <w:color w:val="2C2C2C"/>
          <w:sz w:val="21"/>
          <w:szCs w:val="21"/>
        </w:rPr>
        <w:t xml:space="preserve">The Website does not set out binding fee schedules. All fees, retainer arrangements, and payment terms are agreed separately in the Client Engagement Letter applicable to your matter. General information regarding fee structures may be discussed during an initial consultation, which may itself be subject to a consultation fee as communicated to you at the time of booking.</w:t>
      </w:r>
    </w:p>
    <w:p>
      <w:pPr>
        <w:spacing w:before="60" w:after="80" w:line="320"/>
        <w:jc w:val="both"/>
      </w:pPr>
      <w:r>
        <w:rPr>
          <w:rFonts w:ascii="Arial" w:cs="Arial" w:eastAsia="Arial" w:hAnsi="Arial"/>
          <w:color w:val="2C2C2C"/>
          <w:sz w:val="21"/>
          <w:szCs w:val="21"/>
        </w:rPr>
        <w:t xml:space="preserve">Invictus reserves the right to decline instructions from any prospective client without providing reasons, consistent with our professional obligations and conflict-of-interest policies.</w:t>
      </w:r>
    </w:p>
    <w:p>
      <w:pPr>
        <w:pStyle w:val="Heading2"/>
        <w:spacing w:before="300" w:after="120"/>
      </w:pPr>
      <w:r>
        <w:rPr>
          <w:rFonts w:ascii="Arial" w:cs="Arial" w:eastAsia="Arial" w:hAnsi="Arial"/>
          <w:b/>
          <w:bCs/>
          <w:color w:val="1A2E4A"/>
          <w:sz w:val="26"/>
          <w:szCs w:val="26"/>
        </w:rPr>
        <w:t xml:space="preserve">11.  Governing Law &amp; Jurisdiction</w:t>
      </w:r>
    </w:p>
    <w:p>
      <w:pPr>
        <w:spacing w:before="60" w:after="80" w:line="320"/>
        <w:jc w:val="both"/>
      </w:pPr>
      <w:r>
        <w:rPr>
          <w:rFonts w:ascii="Arial" w:cs="Arial" w:eastAsia="Arial" w:hAnsi="Arial"/>
          <w:color w:val="2C2C2C"/>
          <w:sz w:val="21"/>
          <w:szCs w:val="21"/>
        </w:rPr>
        <w:t xml:space="preserve">These Terms and any disputes arising out of or in connection with them shall be governed by and construed in accordance with the laws of the Islamic Republic of Pakistan. The parties irrevocably submit to the exclusive jurisdiction of the courts of Lahore, Pakistan for the resolution of any dispute, without prejudice to the right of Invictus to seek urgent injunctive or other equitable relief in any court of competent jurisdiction.</w:t>
      </w:r>
    </w:p>
    <w:p>
      <w:pPr>
        <w:pStyle w:val="Heading2"/>
        <w:spacing w:before="300" w:after="120"/>
      </w:pPr>
      <w:r>
        <w:rPr>
          <w:rFonts w:ascii="Arial" w:cs="Arial" w:eastAsia="Arial" w:hAnsi="Arial"/>
          <w:b/>
          <w:bCs/>
          <w:color w:val="1A2E4A"/>
          <w:sz w:val="26"/>
          <w:szCs w:val="26"/>
        </w:rPr>
        <w:t xml:space="preserve">12.  Amendments &amp; Severability</w:t>
      </w:r>
    </w:p>
    <w:p>
      <w:pPr>
        <w:spacing w:before="60" w:after="80" w:line="320"/>
        <w:jc w:val="both"/>
      </w:pPr>
      <w:r>
        <w:rPr>
          <w:rFonts w:ascii="Arial" w:cs="Arial" w:eastAsia="Arial" w:hAnsi="Arial"/>
          <w:color w:val="2C2C2C"/>
          <w:sz w:val="21"/>
          <w:szCs w:val="21"/>
        </w:rPr>
        <w:t xml:space="preserve">Invictus reserves the right to amend these Terms at any time by posting updated Terms on this Website. Your continued use of the Website after the posting of any amendment constitutes acceptance of the amended Terms.</w:t>
      </w:r>
    </w:p>
    <w:p>
      <w:pPr>
        <w:spacing w:before="60" w:after="80" w:line="320"/>
        <w:jc w:val="both"/>
      </w:pPr>
      <w:r>
        <w:rPr>
          <w:rFonts w:ascii="Arial" w:cs="Arial" w:eastAsia="Arial" w:hAnsi="Arial"/>
          <w:color w:val="2C2C2C"/>
          <w:sz w:val="21"/>
          <w:szCs w:val="21"/>
        </w:rPr>
        <w:t xml:space="preserve">If any provision of these Terms is found to be invalid, illegal, or unenforceable by a court of competent jurisdiction, such provision shall be severed from these Terms, and the remaining provisions shall continue in full force and effect.</w:t>
      </w:r>
    </w:p>
    <w:p>
      <w:pPr>
        <w:pStyle w:val="Heading2"/>
        <w:spacing w:before="300" w:after="120"/>
      </w:pPr>
      <w:r>
        <w:rPr>
          <w:rFonts w:ascii="Arial" w:cs="Arial" w:eastAsia="Arial" w:hAnsi="Arial"/>
          <w:b/>
          <w:bCs/>
          <w:color w:val="1A2E4A"/>
          <w:sz w:val="26"/>
          <w:szCs w:val="26"/>
        </w:rPr>
        <w:t xml:space="preserve">13.  Entire Agreement</w:t>
      </w:r>
    </w:p>
    <w:p>
      <w:pPr>
        <w:spacing w:before="60" w:after="80" w:line="320"/>
        <w:jc w:val="both"/>
      </w:pPr>
      <w:r>
        <w:rPr>
          <w:rFonts w:ascii="Arial" w:cs="Arial" w:eastAsia="Arial" w:hAnsi="Arial"/>
          <w:color w:val="2C2C2C"/>
          <w:sz w:val="21"/>
          <w:szCs w:val="21"/>
        </w:rPr>
        <w:t xml:space="preserve">These Terms, together with our Privacy Policy and any applicable Client Engagement Letter, constitute the entire agreement between you and Invictus with respect to your use of this Website and supersede all prior agreements, representations, and understandings, whether written or oral, relating to the same subject matter.</w:t>
      </w:r>
    </w:p>
    <w:p>
      <w:pPr>
        <w:pStyle w:val="Heading2"/>
        <w:spacing w:before="300" w:after="120"/>
      </w:pPr>
      <w:r>
        <w:rPr>
          <w:rFonts w:ascii="Arial" w:cs="Arial" w:eastAsia="Arial" w:hAnsi="Arial"/>
          <w:b/>
          <w:bCs/>
          <w:color w:val="1A2E4A"/>
          <w:sz w:val="26"/>
          <w:szCs w:val="26"/>
        </w:rPr>
        <w:t xml:space="preserve">14.  Contact Us — General &amp; Legal Inquiries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4"/>
              <w:left w:val="single" w:color="1A2E4A" w:sz="4"/>
              <w:bottom w:val="single" w:color="1A2E4A" w:sz="4"/>
              <w:right w:val="single" w:color="1A2E4A" w:sz="4"/>
            </w:tcBorders>
            <w:shd w:fill="EEF2F7" w:val="clear"/>
            <w:tcMar>
              <w:top w:type="dxa" w:w="160"/>
              <w:left w:type="dxa" w:w="240"/>
              <w:bottom w:type="dxa" w:w="160"/>
              <w:right w:type="dxa" w:w="240"/>
            </w:tcMar>
          </w:tcPr>
          <w:p>
            <w:pPr>
              <w:spacing w:before="60" w:after="60"/>
            </w:pPr>
            <w:r>
              <w:rPr>
                <w:rFonts w:ascii="Arial" w:cs="Arial" w:eastAsia="Arial" w:hAnsi="Arial"/>
                <w:b w:val="false"/>
                <w:bCs w:val="false"/>
                <w:color w:val="1A2E4A"/>
                <w:sz w:val="21"/>
                <w:szCs w:val="21"/>
              </w:rPr>
              <w:t xml:space="preserve">  Invictus Corporate &amp; Legal Consultants</w:t>
            </w:r>
          </w:p>
          <w:p>
            <w:pPr>
              <w:spacing w:before="60" w:after="60"/>
            </w:pPr>
            <w:r>
              <w:rPr>
                <w:rFonts w:ascii="Arial" w:cs="Arial" w:eastAsia="Arial" w:hAnsi="Arial"/>
                <w:b w:val="false"/>
                <w:bCs w:val="false"/>
                <w:color w:val="1A2E4A"/>
                <w:sz w:val="21"/>
                <w:szCs w:val="21"/>
              </w:rPr>
              <w:t xml:space="preserve">  Email:  official@iclc.com.pk</w:t>
            </w:r>
          </w:p>
          <w:p>
            <w:pPr>
              <w:spacing w:before="60" w:after="60"/>
            </w:pPr>
            <w:r>
              <w:rPr>
                <w:rFonts w:ascii="Arial" w:cs="Arial" w:eastAsia="Arial" w:hAnsi="Arial"/>
                <w:b w:val="false"/>
                <w:bCs w:val="false"/>
                <w:color w:val="1A2E4A"/>
                <w:sz w:val="21"/>
                <w:szCs w:val="21"/>
              </w:rPr>
              <w:t xml:space="preserve">  Phone:  0313-4891684 / 0345-1042352</w:t>
            </w:r>
          </w:p>
          <w:p>
            <w:pPr>
              <w:spacing w:before="60" w:after="60"/>
            </w:pPr>
            <w:r>
              <w:rPr>
                <w:rFonts w:ascii="Arial" w:cs="Arial" w:eastAsia="Arial" w:hAnsi="Arial"/>
                <w:b w:val="false"/>
                <w:bCs w:val="false"/>
                <w:color w:val="1A2E4A"/>
                <w:sz w:val="21"/>
                <w:szCs w:val="21"/>
              </w:rPr>
              <w:t xml:space="preserve">  Address: Office No. 105, First Floor, Arif Building, 13-Fane Road, Near Lahore High Court, Lahore, Pakistan</w:t>
            </w:r>
          </w:p>
          <w:p>
            <w:pPr>
              <w:spacing w:before="60" w:after="60"/>
            </w:pPr>
            <w:r>
              <w:rPr>
                <w:rFonts w:ascii="Arial" w:cs="Arial" w:eastAsia="Arial" w:hAnsi="Arial"/>
                <w:b w:val="false"/>
                <w:bCs w:val="false"/>
                <w:color w:val="1A2E4A"/>
                <w:sz w:val="21"/>
                <w:szCs w:val="21"/>
              </w:rPr>
              <w:t xml:space="preserve">  Website: https://iclc.com.pk</w:t>
            </w:r>
          </w:p>
          <w:p>
            <w:pPr>
              <w:spacing w:before="60" w:after="60"/>
            </w:pPr>
            <w:r>
              <w:rPr>
                <w:rFonts w:ascii="Arial" w:cs="Arial" w:eastAsia="Arial" w:hAnsi="Arial"/>
                <w:b w:val="false"/>
                <w:bCs w:val="false"/>
                <w:color w:val="1A2E4A"/>
                <w:sz w:val="21"/>
                <w:szCs w:val="21"/>
              </w:rPr>
              <w:t xml:space="preserve"/>
            </w:r>
          </w:p>
          <w:p>
            <w:pPr>
              <w:spacing w:before="60" w:after="60"/>
            </w:pPr>
            <w:r>
              <w:rPr>
                <w:rFonts w:ascii="Arial" w:cs="Arial" w:eastAsia="Arial" w:hAnsi="Arial"/>
                <w:b w:val="false"/>
                <w:bCs w:val="false"/>
                <w:color w:val="1A2E4A"/>
                <w:sz w:val="21"/>
                <w:szCs w:val="21"/>
              </w:rPr>
              <w:t xml:space="preserve">  Business Hours: Monday to Saturday | 9:00 AM – 6:00 PM PKT</w:t>
            </w:r>
          </w:p>
          <w:p>
            <w:pPr>
              <w:spacing w:before="60" w:after="60"/>
            </w:pPr>
            <w:r>
              <w:rPr>
                <w:rFonts w:ascii="Arial" w:cs="Arial" w:eastAsia="Arial" w:hAnsi="Arial"/>
                <w:b w:val="false"/>
                <w:bCs w:val="false"/>
                <w:color w:val="1A2E4A"/>
                <w:sz w:val="21"/>
                <w:szCs w:val="21"/>
              </w:rPr>
              <w:t xml:space="preserve">  For urgent legal matters, please call directly. Email responses are provided within 2 business days.</w:t>
            </w:r>
          </w:p>
        </w:tc>
      </w:tr>
    </w:tbl>
    <w:p>
      <w:pPr>
        <w:spacing w:before="200" w:after="0"/>
      </w:pPr>
    </w:p>
    <w:p>
      <w:pPr>
        <w:pBdr>
          <w:bottom w:val="single" w:color="B8960C" w:sz="12" w:space="1"/>
        </w:pBdr>
        <w:spacing w:before="200" w:after="200"/>
      </w:pPr>
    </w:p>
    <w:p>
      <w:pPr>
        <w:spacing w:before="200" w:after="60"/>
        <w:jc w:val="center"/>
      </w:pPr>
      <w:r>
        <w:rPr>
          <w:rFonts w:ascii="Arial" w:cs="Arial" w:eastAsia="Arial" w:hAnsi="Arial"/>
          <w:b/>
          <w:bCs/>
          <w:color w:val="1A2E4A"/>
          <w:sz w:val="22"/>
          <w:szCs w:val="22"/>
        </w:rPr>
        <w:t xml:space="preserve">INVICTUS CORPORATE &amp; LEGAL CONSULTANTS</w:t>
      </w:r>
    </w:p>
    <w:p>
      <w:pPr>
        <w:spacing w:before="40" w:after="40"/>
        <w:jc w:val="center"/>
      </w:pPr>
      <w:r>
        <w:rPr>
          <w:rFonts w:ascii="Arial" w:cs="Arial" w:eastAsia="Arial" w:hAnsi="Arial"/>
          <w:i/>
          <w:iCs/>
          <w:color w:val="666666"/>
          <w:sz w:val="19"/>
          <w:szCs w:val="19"/>
        </w:rPr>
        <w:t xml:space="preserve">Effective Date: March 13, 2026  |  Version 1.0</w:t>
      </w:r>
    </w:p>
    <w:p>
      <w:pPr>
        <w:spacing w:before="40" w:after="40"/>
        <w:jc w:val="center"/>
      </w:pPr>
      <w:r>
        <w:rPr>
          <w:rFonts w:ascii="Arial" w:cs="Arial" w:eastAsia="Arial" w:hAnsi="Arial"/>
          <w:i/>
          <w:iCs/>
          <w:color w:val="888888"/>
          <w:sz w:val="18"/>
          <w:szCs w:val="18"/>
        </w:rPr>
        <w:t xml:space="preserve">This document is subject to periodic review. Last reviewed: March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AE8" w:sz="4" w:space="2"/>
      </w:pBdr>
      <w:tabs>
        <w:tab w:val="center" w:pos="4680"/>
        <w:tab w:val="right" w:pos="9360"/>
      </w:tabs>
      <w:spacing w:before="80" w:after="0"/>
      <w:jc w:val="center"/>
    </w:pPr>
    <w:r>
      <w:rPr>
        <w:rFonts w:ascii="Arial" w:cs="Arial" w:eastAsia="Arial" w:hAnsi="Arial"/>
        <w:color w:val="888888"/>
        <w:sz w:val="16"/>
        <w:szCs w:val="16"/>
      </w:rPr>
      <w:t xml:space="preserve">Effective: March 13, 2026</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sz w:val="16"/>
        <w:szCs w:val="16"/>
      </w:rPr>
      <w:t xml:space="preserve">	</w:t>
    </w:r>
    <w:r>
      <w:rPr>
        <w:rFonts w:ascii="Arial" w:cs="Arial" w:eastAsia="Arial" w:hAnsi="Arial"/>
        <w:i/>
        <w:iCs/>
        <w:color w:val="888888"/>
        <w:sz w:val="16"/>
        <w:szCs w:val="16"/>
      </w:rPr>
      <w:t xml:space="preserve">CONFIDENTIAL — FOR CLIENT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0C" w:sz="6" w:space="2"/>
      </w:pBdr>
      <w:spacing w:before="0" w:after="120"/>
      <w:jc w:val="center"/>
    </w:pPr>
    <w:r>
      <w:rPr>
        <w:rFonts w:ascii="Arial" w:cs="Arial" w:eastAsia="Arial" w:hAnsi="Arial"/>
        <w:b/>
        <w:bCs/>
        <w:color w:val="1A2E4A"/>
        <w:sz w:val="18"/>
        <w:szCs w:val="18"/>
      </w:rPr>
      <w:t xml:space="preserve">INVICTUS CORPORATE &amp; LEGAL CONSULTANTS</w:t>
    </w:r>
    <w:r>
      <w:rPr>
        <w:rFonts w:ascii="Arial" w:cs="Arial" w:eastAsia="Arial" w:hAnsi="Arial"/>
        <w:color w:val="666666"/>
        <w:sz w:val="18"/>
        <w:szCs w:val="18"/>
      </w:rPr>
      <w:t xml:space="preserve">   |   Privacy Policy &amp;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4A"/>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1A2E4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B896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2026-03-13T11:07:52.411Z</dcterms:created>
  <dcterms:modified xsi:type="dcterms:W3CDTF">2026-03-13T11:07:52.412Z</dcterms:modified>
</cp:coreProperties>
</file>

<file path=docProps/custom.xml><?xml version="1.0" encoding="utf-8"?>
<Properties xmlns="http://schemas.openxmlformats.org/officeDocument/2006/custom-properties" xmlns:vt="http://schemas.openxmlformats.org/officeDocument/2006/docPropsVTypes"/>
</file>