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1B3A6B"/>
          <w:sz w:val="24"/>
          <w:szCs w:val="24"/>
        </w:rPr>
        <w:t xml:space="preserve">GHULAM ISHAQ KHAN INSTITUTE OF ENGINEERING</w:t>
      </w:r>
    </w:p>
    <w:p>
      <w:pPr>
        <w:spacing w:after="300" w:before="0"/>
        <w:jc w:val="center"/>
      </w:pPr>
      <w:r>
        <w:rPr>
          <w:rFonts w:ascii="Arial" w:cs="Arial" w:eastAsia="Arial" w:hAnsi="Arial"/>
          <w:b/>
          <w:bCs/>
          <w:color w:val="1B3A6B"/>
          <w:sz w:val="24"/>
          <w:szCs w:val="24"/>
        </w:rPr>
        <w:t xml:space="preserve">SCIENCES &amp; TECHNOLOGY (GIKI)</w:t>
      </w:r>
    </w:p>
    <w:p>
      <w:pPr>
        <w:pBdr>
          <w:bottom w:val="single" w:color="C0392B" w:sz="12"/>
        </w:pBdr>
        <w:spacing w:after="80" w:before="0"/>
        <w:jc w:val="center"/>
      </w:pPr>
      <w:r>
        <w:rPr>
          <w:rFonts w:ascii="Arial" w:cs="Arial" w:eastAsia="Arial" w:hAnsi="Arial"/>
          <w:sz w:val="22"/>
          <w:szCs w:val="22"/>
        </w:rPr>
        <w:t xml:space="preserve"/>
      </w:r>
    </w:p>
    <w:p>
      <w:pPr>
        <w:spacing w:after="160" w:before="0"/>
      </w:pPr>
      <w:r>
        <w:t xml:space="preserve"/>
      </w:r>
    </w:p>
    <w:p>
      <w:pPr>
        <w:spacing w:after="80" w:before="0"/>
        <w:jc w:val="center"/>
      </w:pPr>
      <w:r>
        <w:rPr>
          <w:rFonts w:ascii="Arial" w:cs="Arial" w:eastAsia="Arial" w:hAnsi="Arial"/>
          <w:b/>
          <w:bCs/>
          <w:caps/>
          <w:color w:val="1B3A6B"/>
          <w:sz w:val="28"/>
          <w:szCs w:val="28"/>
        </w:rPr>
        <w:t xml:space="preserve">FINAL YEAR PROJECT PROPOSAL</w:t>
      </w:r>
    </w:p>
    <w:p>
      <w:pPr>
        <w:spacing w:after="120" w:before="0"/>
      </w:pPr>
      <w:r>
        <w:t xml:space="preserve"/>
      </w:r>
    </w:p>
    <w:p>
      <w:pPr>
        <w:spacing w:after="40" w:before="0"/>
        <w:jc w:val="center"/>
      </w:pPr>
      <w:r>
        <w:rPr>
          <w:rFonts w:ascii="Arial" w:cs="Arial" w:eastAsia="Arial" w:hAnsi="Arial"/>
          <w:b/>
          <w:bCs/>
          <w:color w:val="1B3A6B"/>
          <w:sz w:val="40"/>
          <w:szCs w:val="40"/>
        </w:rPr>
        <w:t xml:space="preserve">Mizan AI: An Intelligent Legal Assistance Platform</w:t>
      </w:r>
    </w:p>
    <w:p>
      <w:pPr>
        <w:spacing w:after="200" w:before="0"/>
        <w:jc w:val="center"/>
      </w:pPr>
      <w:r>
        <w:rPr>
          <w:rFonts w:ascii="Arial" w:cs="Arial" w:eastAsia="Arial" w:hAnsi="Arial"/>
          <w:b/>
          <w:bCs/>
          <w:color w:val="C0392B"/>
          <w:sz w:val="40"/>
          <w:szCs w:val="40"/>
        </w:rPr>
        <w:t xml:space="preserve">for Pakistani Citizens</w:t>
      </w:r>
    </w:p>
    <w:p>
      <w:pPr>
        <w:spacing w:after="80" w:before="0"/>
      </w:pPr>
      <w:r>
        <w:t xml:space="preserve"/>
      </w:r>
    </w:p>
    <w:p>
      <w:pPr>
        <w:spacing w:after="80" w:before="0"/>
        <w:jc w:val="center"/>
      </w:pPr>
      <w:r>
        <w:rPr>
          <w:rFonts w:ascii="Arial" w:cs="Arial" w:eastAsia="Arial" w:hAnsi="Arial"/>
          <w:i/>
          <w:iCs/>
          <w:color w:val="555555"/>
          <w:sz w:val="24"/>
          <w:szCs w:val="24"/>
        </w:rPr>
        <w:t xml:space="preserve">Democratizing Access to Justice Through Artificial Intelligence</w:t>
      </w:r>
    </w:p>
    <w:p>
      <w:pPr>
        <w:spacing w:after="240" w:before="0"/>
      </w:pPr>
      <w:r>
        <w:t xml:space="preserve"/>
      </w:r>
    </w:p>
    <w:p>
      <w:pPr>
        <w:spacing w:after="60" w:before="0"/>
        <w:jc w:val="center"/>
      </w:pPr>
      <w:r>
        <w:rPr>
          <w:rFonts w:ascii="Arial" w:cs="Arial" w:eastAsia="Arial" w:hAnsi="Arial"/>
          <w:b/>
          <w:bCs/>
          <w:color w:val="2E75B6"/>
          <w:sz w:val="22"/>
          <w:szCs w:val="22"/>
        </w:rPr>
        <w:t xml:space="preserve">Department of Artificial Intelligence</w:t>
      </w:r>
    </w:p>
    <w:p>
      <w:pPr>
        <w:spacing w:after="60" w:before="0"/>
        <w:jc w:val="center"/>
      </w:pPr>
      <w:r>
        <w:rPr>
          <w:rFonts w:ascii="Arial" w:cs="Arial" w:eastAsia="Arial" w:hAnsi="Arial"/>
          <w:color w:val="555555"/>
          <w:sz w:val="22"/>
          <w:szCs w:val="22"/>
        </w:rPr>
        <w:t xml:space="preserve">Faculty of Computer Science &amp; Engineering</w:t>
      </w:r>
    </w:p>
    <w:p>
      <w:pPr>
        <w:spacing w:after="60" w:before="0"/>
        <w:jc w:val="center"/>
      </w:pPr>
      <w:r>
        <w:rPr>
          <w:rFonts w:ascii="Arial" w:cs="Arial" w:eastAsia="Arial" w:hAnsi="Arial"/>
          <w:color w:val="555555"/>
          <w:sz w:val="22"/>
          <w:szCs w:val="22"/>
        </w:rPr>
        <w:t xml:space="preserve">Academic Year 2025–2026</w:t>
      </w:r>
    </w:p>
    <w:p>
      <w:pPr>
        <w:spacing w:after="160" w:before="0"/>
      </w:pPr>
      <w:r>
        <w:t xml:space="preserve"/>
      </w:r>
    </w:p>
    <w:p>
      <w:pPr>
        <w:spacing w:after="60" w:before="0"/>
        <w:jc w:val="center"/>
      </w:pPr>
      <w:r>
        <w:rPr>
          <w:rFonts w:ascii="Arial" w:cs="Arial" w:eastAsia="Arial" w:hAnsi="Arial"/>
          <w:b/>
          <w:bCs/>
          <w:color w:val="1B3A6B"/>
          <w:sz w:val="22"/>
          <w:szCs w:val="22"/>
        </w:rPr>
        <w:t xml:space="preserve">Student ID: 2023162</w:t>
      </w:r>
    </w:p>
    <w:p>
      <w:r>
        <w:br w:type="page"/>
      </w:r>
    </w:p>
    <w:p>
      <w:pPr>
        <w:pStyle w:val="Heading1"/>
        <w:pBdr>
          <w:bottom w:val="single" w:color="2E75B6" w:sz="8" w:space="4"/>
        </w:pBdr>
        <w:spacing w:after="120" w:before="360"/>
      </w:pPr>
      <w:r>
        <w:rPr>
          <w:rFonts w:ascii="Arial" w:cs="Arial" w:eastAsia="Arial" w:hAnsi="Arial"/>
          <w:b/>
          <w:bCs/>
          <w:color w:val="1B3A6B"/>
          <w:sz w:val="32"/>
          <w:szCs w:val="32"/>
        </w:rPr>
        <w:t xml:space="preserve">Executive Summary</w:t>
      </w:r>
    </w:p>
    <w:p>
      <w:pPr>
        <w:spacing w:after="80" w:before="60" w:line="320"/>
      </w:pPr>
      <w:r>
        <w:rPr>
          <w:rFonts w:ascii="Arial" w:cs="Arial" w:eastAsia="Arial" w:hAnsi="Arial"/>
          <w:b w:val="false"/>
          <w:bCs w:val="false"/>
          <w:color w:val="000000"/>
          <w:sz w:val="22"/>
          <w:szCs w:val="22"/>
        </w:rPr>
        <w:t xml:space="preserve">Pakistan faces a severe access-to-justice crisis. The nation operates with approximately 17 lawyers per 100,000 citizens — a ratio far below global benchmarks — leaving the vast majority of the population legally unrepresented and vulnerable. For the estimated 220 million Pakistanis, navigating a complex, bilingual legal system built on colonial-era statutes and decades of judicial precedent is practically impossible without expensive professional help.</w:t>
      </w:r>
    </w:p>
    <w:p>
      <w:pPr>
        <w:spacing w:after="40" w:before="0"/>
      </w:pPr>
      <w:r>
        <w:t xml:space="preserve"/>
      </w:r>
    </w:p>
    <w:p>
      <w:pPr>
        <w:spacing w:after="80" w:before="60" w:line="320"/>
      </w:pPr>
      <w:r>
        <w:rPr>
          <w:rFonts w:ascii="Arial" w:cs="Arial" w:eastAsia="Arial" w:hAnsi="Arial"/>
          <w:b w:val="false"/>
          <w:bCs w:val="false"/>
          <w:color w:val="000000"/>
          <w:sz w:val="22"/>
          <w:szCs w:val="22"/>
        </w:rPr>
        <w:t xml:space="preserve">Mizan AI (میزان — the Arabic/Urdu word for 'balance' and 'scales of justice') is a Final Year Project that directly confronts this challenge. It is a mobile-first, AI-powered legal assistance platform designed specifically for Pakistani citizens, providing instant, accurate, and affordable access to the country's statutory law, judicial precedent, and legal procedures — available in both English and Urdu.</w:t>
      </w:r>
    </w:p>
    <w:p>
      <w:pPr>
        <w:spacing w:after="40" w:before="0"/>
      </w:pPr>
      <w:r>
        <w:t xml:space="preserve"/>
      </w:r>
    </w:p>
    <w:p>
      <w:pPr>
        <w:spacing w:after="80" w:before="60" w:line="320"/>
      </w:pPr>
      <w:r>
        <w:rPr>
          <w:rFonts w:ascii="Arial" w:cs="Arial" w:eastAsia="Arial" w:hAnsi="Arial"/>
          <w:b w:val="false"/>
          <w:bCs w:val="false"/>
          <w:color w:val="000000"/>
          <w:sz w:val="22"/>
          <w:szCs w:val="22"/>
        </w:rPr>
        <w:t xml:space="preserve">The system is not a generic chatbot. It is a purpose-engineered, multi-component AI architecture built on Retrieval-Augmented Generation (RAG) principles, ensuring that every answer is strictly grounded in verified Pakistani law. The platform introduces nine distinct technical aims, spanning core mobile infrastructure, a bilingual search engine, a fine-tuned legal AI model, a court-ready document factory, and a judicial citation network — with privacy and security as non-negotiable foundations throughout.</w:t>
      </w:r>
    </w:p>
    <w:p>
      <w:pPr>
        <w:spacing w:after="6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1. Problem Statement &amp; Motivation</w:t>
      </w:r>
    </w:p>
    <w:p>
      <w:pPr>
        <w:pStyle w:val="Heading2"/>
        <w:spacing w:after="80" w:before="280"/>
      </w:pPr>
      <w:r>
        <w:rPr>
          <w:rFonts w:ascii="Arial" w:cs="Arial" w:eastAsia="Arial" w:hAnsi="Arial"/>
          <w:b/>
          <w:bCs/>
          <w:color w:val="2E75B6"/>
          <w:sz w:val="26"/>
          <w:szCs w:val="26"/>
        </w:rPr>
        <w:t xml:space="preserve">1.1 The Access-to-Justice Gap in Pakistan</w:t>
      </w:r>
    </w:p>
    <w:p>
      <w:pPr>
        <w:spacing w:after="80" w:before="60" w:line="320"/>
      </w:pPr>
      <w:r>
        <w:rPr>
          <w:rFonts w:ascii="Arial" w:cs="Arial" w:eastAsia="Arial" w:hAnsi="Arial"/>
          <w:b w:val="false"/>
          <w:bCs w:val="false"/>
          <w:color w:val="000000"/>
          <w:sz w:val="22"/>
          <w:szCs w:val="22"/>
        </w:rPr>
        <w:t xml:space="preserve">Pakistan's legal system is one of the most complex in South Asia. It operates across multiple tiers — Federal Shariat Court, Supreme Court, High Courts, Sessions Courts, and civil courts — governed by a vast corpus of legislation including the Pakistan Penal Code (1860), Code of Civil Procedure (1908), Family Laws Ordinance (1961), and hundreds of subsequent amendments. Despite this complexity, access to legal expertise is deeply inequitable:</w:t>
      </w:r>
    </w:p>
    <w:p>
      <w:pPr>
        <w:spacing w:after="20" w:before="0"/>
      </w:pPr>
      <w:r>
        <w:t xml:space="preserve"/>
      </w:r>
    </w:p>
    <w:p>
      <w:pPr>
        <w:pStyle w:val="ListParagraph"/>
        <w:numPr>
          <w:ilvl w:val="0"/>
          <w:numId w:val="2"/>
        </w:numPr>
        <w:spacing w:after="40" w:before="40" w:line="300"/>
      </w:pPr>
      <w:r>
        <w:rPr>
          <w:rFonts w:ascii="Arial" w:cs="Arial" w:eastAsia="Arial" w:hAnsi="Arial"/>
          <w:sz w:val="22"/>
          <w:szCs w:val="22"/>
        </w:rPr>
        <w:t xml:space="preserve">Lawyer density: Pakistan has approximately 120,000 practicing lawyers for a population of 230+ million, translating to roughly 1 lawyer per 1,900 citizens.</w:t>
      </w:r>
    </w:p>
    <w:p>
      <w:pPr>
        <w:pStyle w:val="ListParagraph"/>
        <w:numPr>
          <w:ilvl w:val="0"/>
          <w:numId w:val="2"/>
        </w:numPr>
        <w:spacing w:after="40" w:before="40" w:line="300"/>
      </w:pPr>
      <w:r>
        <w:rPr>
          <w:rFonts w:ascii="Arial" w:cs="Arial" w:eastAsia="Arial" w:hAnsi="Arial"/>
          <w:sz w:val="22"/>
          <w:szCs w:val="22"/>
        </w:rPr>
        <w:t xml:space="preserve">Language barrier: A significant portion of statutes and court rulings exist in English, which approximately 8% of Pakistanis speak fluently, creating structural exclusion for the Urdu-speaking majority.</w:t>
      </w:r>
    </w:p>
    <w:p>
      <w:pPr>
        <w:pStyle w:val="ListParagraph"/>
        <w:numPr>
          <w:ilvl w:val="0"/>
          <w:numId w:val="2"/>
        </w:numPr>
        <w:spacing w:after="40" w:before="40" w:line="300"/>
      </w:pPr>
      <w:r>
        <w:rPr>
          <w:rFonts w:ascii="Arial" w:cs="Arial" w:eastAsia="Arial" w:hAnsi="Arial"/>
          <w:sz w:val="22"/>
          <w:szCs w:val="22"/>
        </w:rPr>
        <w:t xml:space="preserve">Geographic concentration: Over 70% of lawyers are concentrated in four major cities (Karachi, Lahore, Rawalpindi, Islamabad), leaving rural populations — representing 63% of the country — with negligible legal access.</w:t>
      </w:r>
    </w:p>
    <w:p>
      <w:pPr>
        <w:pStyle w:val="ListParagraph"/>
        <w:numPr>
          <w:ilvl w:val="0"/>
          <w:numId w:val="2"/>
        </w:numPr>
        <w:spacing w:after="40" w:before="40" w:line="300"/>
      </w:pPr>
      <w:r>
        <w:rPr>
          <w:rFonts w:ascii="Arial" w:cs="Arial" w:eastAsia="Arial" w:hAnsi="Arial"/>
          <w:sz w:val="22"/>
          <w:szCs w:val="22"/>
        </w:rPr>
        <w:t xml:space="preserve">Economic exclusion: Average legal consultation fees range from PKR 5,000 to PKR 50,000+, which is prohibitive for the majority of citizens who earn below the median household income.</w:t>
      </w:r>
    </w:p>
    <w:p>
      <w:pPr>
        <w:pStyle w:val="ListParagraph"/>
        <w:numPr>
          <w:ilvl w:val="0"/>
          <w:numId w:val="2"/>
        </w:numPr>
        <w:spacing w:after="40" w:before="40" w:line="300"/>
      </w:pPr>
      <w:r>
        <w:rPr>
          <w:rFonts w:ascii="Arial" w:cs="Arial" w:eastAsia="Arial" w:hAnsi="Arial"/>
          <w:sz w:val="22"/>
          <w:szCs w:val="22"/>
        </w:rPr>
        <w:t xml:space="preserve">Digital illiteracy in law: No reliable, structured, machine-readable repository of Pakistani law exists. The Pakistan Code website is un-indexed, lacks OCR, and contains no semantic search capabilities.</w:t>
      </w:r>
    </w:p>
    <w:p>
      <w:pPr>
        <w:spacing w:after="40" w:before="0"/>
      </w:pPr>
      <w:r>
        <w:t xml:space="preserve"/>
      </w:r>
    </w:p>
    <w:p>
      <w:pPr>
        <w:pStyle w:val="Heading2"/>
        <w:spacing w:after="80" w:before="280"/>
      </w:pPr>
      <w:r>
        <w:rPr>
          <w:rFonts w:ascii="Arial" w:cs="Arial" w:eastAsia="Arial" w:hAnsi="Arial"/>
          <w:b/>
          <w:bCs/>
          <w:color w:val="2E75B6"/>
          <w:sz w:val="26"/>
          <w:szCs w:val="26"/>
        </w:rPr>
        <w:t xml:space="preserve">1.2 The Technological Opportunity</w:t>
      </w:r>
    </w:p>
    <w:p>
      <w:pPr>
        <w:spacing w:after="80" w:before="60" w:line="320"/>
      </w:pPr>
      <w:r>
        <w:rPr>
          <w:rFonts w:ascii="Arial" w:cs="Arial" w:eastAsia="Arial" w:hAnsi="Arial"/>
          <w:b w:val="false"/>
          <w:bCs w:val="false"/>
          <w:color w:val="000000"/>
          <w:sz w:val="22"/>
          <w:szCs w:val="22"/>
        </w:rPr>
        <w:t xml:space="preserve">The convergence of large language models (LLMs), retrieval-augmented generation, and efficient mobile deployment presents an unprecedented opportunity to democratize legal knowledge. However, generic AI tools such as ChatGPT are fundamentally unsuitable for this task due to: hallucination of non-existent laws, absence of Pakistani legal domain knowledge, inability to search real-time statutory databases, no Urdu legal translation capability, and no mechanism for citing specific sections or judgments.</w:t>
      </w:r>
    </w:p>
    <w:p>
      <w:pPr>
        <w:spacing w:after="40" w:before="0"/>
      </w:pPr>
      <w:r>
        <w:t xml:space="preserve"/>
      </w:r>
    </w:p>
    <w:p>
      <w:pPr>
        <w:spacing w:after="80" w:before="60" w:line="320"/>
      </w:pPr>
      <w:r>
        <w:rPr>
          <w:rFonts w:ascii="Arial" w:cs="Arial" w:eastAsia="Arial" w:hAnsi="Arial"/>
          <w:b w:val="false"/>
          <w:bCs w:val="false"/>
          <w:color w:val="000000"/>
          <w:sz w:val="22"/>
          <w:szCs w:val="22"/>
        </w:rPr>
        <w:t xml:space="preserve">Mizan AI addresses each of these failures with a purpose-built architecture.</w:t>
      </w:r>
    </w:p>
    <w:p>
      <w:pPr>
        <w:spacing w:after="6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2. Project Scope &amp; Objectives</w:t>
      </w:r>
    </w:p>
    <w:p>
      <w:pPr>
        <w:pStyle w:val="Heading2"/>
        <w:spacing w:after="80" w:before="280"/>
      </w:pPr>
      <w:r>
        <w:rPr>
          <w:rFonts w:ascii="Arial" w:cs="Arial" w:eastAsia="Arial" w:hAnsi="Arial"/>
          <w:b/>
          <w:bCs/>
          <w:color w:val="2E75B6"/>
          <w:sz w:val="26"/>
          <w:szCs w:val="26"/>
        </w:rPr>
        <w:t xml:space="preserve">2.1 Primary Objective</w:t>
      </w:r>
    </w:p>
    <w:p>
      <w:pPr>
        <w:spacing w:after="80" w:before="60" w:line="320"/>
      </w:pPr>
      <w:r>
        <w:rPr>
          <w:rFonts w:ascii="Arial" w:cs="Arial" w:eastAsia="Arial" w:hAnsi="Arial"/>
          <w:b w:val="false"/>
          <w:bCs w:val="false"/>
          <w:color w:val="000000"/>
          <w:sz w:val="22"/>
          <w:szCs w:val="22"/>
        </w:rPr>
        <w:t xml:space="preserve">To design, develop, and validate a production-grade AI-powered mobile legal assistant for Pakistani citizens, integrating natural language processing, retrieval-augmented generation, and bilingual capabilities into a secure, offline-capable application.</w:t>
      </w:r>
    </w:p>
    <w:p>
      <w:pPr>
        <w:spacing w:after="40" w:before="0"/>
      </w:pPr>
      <w:r>
        <w:t xml:space="preserve"/>
      </w:r>
    </w:p>
    <w:p>
      <w:pPr>
        <w:pStyle w:val="Heading2"/>
        <w:spacing w:after="80" w:before="280"/>
      </w:pPr>
      <w:r>
        <w:rPr>
          <w:rFonts w:ascii="Arial" w:cs="Arial" w:eastAsia="Arial" w:hAnsi="Arial"/>
          <w:b/>
          <w:bCs/>
          <w:color w:val="2E75B6"/>
          <w:sz w:val="26"/>
          <w:szCs w:val="26"/>
        </w:rPr>
        <w:t xml:space="preserve">2.2 Specific Objectives</w:t>
      </w:r>
    </w:p>
    <w:p>
      <w:pPr>
        <w:pStyle w:val="ListParagraph"/>
        <w:numPr>
          <w:ilvl w:val="0"/>
          <w:numId w:val="3"/>
        </w:numPr>
        <w:spacing w:after="40" w:before="40" w:line="300"/>
      </w:pPr>
      <w:r>
        <w:rPr>
          <w:rFonts w:ascii="Arial" w:cs="Arial" w:eastAsia="Arial" w:hAnsi="Arial"/>
          <w:sz w:val="22"/>
          <w:szCs w:val="22"/>
        </w:rPr>
        <w:t xml:space="preserve">Build a cross-platform (Android/iOS) mobile application with offline-first legal search capabilities.</w:t>
      </w:r>
    </w:p>
    <w:p>
      <w:pPr>
        <w:pStyle w:val="ListParagraph"/>
        <w:numPr>
          <w:ilvl w:val="0"/>
          <w:numId w:val="3"/>
        </w:numPr>
        <w:spacing w:after="40" w:before="40" w:line="300"/>
      </w:pPr>
      <w:r>
        <w:rPr>
          <w:rFonts w:ascii="Arial" w:cs="Arial" w:eastAsia="Arial" w:hAnsi="Arial"/>
          <w:sz w:val="22"/>
          <w:szCs w:val="22"/>
        </w:rPr>
        <w:t xml:space="preserve">Construct and maintain a comprehensive, machine-readable repository of Pakistani statutory law and judicial precedent.</w:t>
      </w:r>
    </w:p>
    <w:p>
      <w:pPr>
        <w:pStyle w:val="ListParagraph"/>
        <w:numPr>
          <w:ilvl w:val="0"/>
          <w:numId w:val="3"/>
        </w:numPr>
        <w:spacing w:after="40" w:before="40" w:line="300"/>
      </w:pPr>
      <w:r>
        <w:rPr>
          <w:rFonts w:ascii="Arial" w:cs="Arial" w:eastAsia="Arial" w:hAnsi="Arial"/>
          <w:sz w:val="22"/>
          <w:szCs w:val="22"/>
        </w:rPr>
        <w:t xml:space="preserve">Engineer a deterministic, hallucination-free retrieval pipeline combining keyword and semantic search.</w:t>
      </w:r>
    </w:p>
    <w:p>
      <w:pPr>
        <w:pStyle w:val="ListParagraph"/>
        <w:numPr>
          <w:ilvl w:val="0"/>
          <w:numId w:val="3"/>
        </w:numPr>
        <w:spacing w:after="40" w:before="40" w:line="300"/>
      </w:pPr>
      <w:r>
        <w:rPr>
          <w:rFonts w:ascii="Arial" w:cs="Arial" w:eastAsia="Arial" w:hAnsi="Arial"/>
          <w:sz w:val="22"/>
          <w:szCs w:val="22"/>
        </w:rPr>
        <w:t xml:space="preserve">Fine-tune a domain-adapted legal language model on Pakistani jurisprudence using Parameter-Efficient Fine-Tuning (PEFT).</w:t>
      </w:r>
    </w:p>
    <w:p>
      <w:pPr>
        <w:pStyle w:val="ListParagraph"/>
        <w:numPr>
          <w:ilvl w:val="0"/>
          <w:numId w:val="3"/>
        </w:numPr>
        <w:spacing w:after="40" w:before="40" w:line="300"/>
      </w:pPr>
      <w:r>
        <w:rPr>
          <w:rFonts w:ascii="Arial" w:cs="Arial" w:eastAsia="Arial" w:hAnsi="Arial"/>
          <w:sz w:val="22"/>
          <w:szCs w:val="22"/>
        </w:rPr>
        <w:t xml:space="preserve">Implement Cross-Lingual Information Retrieval (CLIR) for native Urdu accessibility.</w:t>
      </w:r>
    </w:p>
    <w:p>
      <w:pPr>
        <w:pStyle w:val="ListParagraph"/>
        <w:numPr>
          <w:ilvl w:val="0"/>
          <w:numId w:val="3"/>
        </w:numPr>
        <w:spacing w:after="40" w:before="40" w:line="300"/>
      </w:pPr>
      <w:r>
        <w:rPr>
          <w:rFonts w:ascii="Arial" w:cs="Arial" w:eastAsia="Arial" w:hAnsi="Arial"/>
          <w:sz w:val="22"/>
          <w:szCs w:val="22"/>
        </w:rPr>
        <w:t xml:space="preserve">Automate generation of court-acceptable legal documents formatted for Pakistani stamp paper standards.</w:t>
      </w:r>
    </w:p>
    <w:p>
      <w:pPr>
        <w:pStyle w:val="ListParagraph"/>
        <w:numPr>
          <w:ilvl w:val="0"/>
          <w:numId w:val="3"/>
        </w:numPr>
        <w:spacing w:after="40" w:before="40" w:line="300"/>
      </w:pPr>
      <w:r>
        <w:rPr>
          <w:rFonts w:ascii="Arial" w:cs="Arial" w:eastAsia="Arial" w:hAnsi="Arial"/>
          <w:sz w:val="22"/>
          <w:szCs w:val="22"/>
        </w:rPr>
        <w:t xml:space="preserve">Map citation networks between statutes and Supreme Court/High Court judgments.</w:t>
      </w:r>
    </w:p>
    <w:p>
      <w:pPr>
        <w:pStyle w:val="ListParagraph"/>
        <w:numPr>
          <w:ilvl w:val="0"/>
          <w:numId w:val="3"/>
        </w:numPr>
        <w:spacing w:after="40" w:before="40" w:line="300"/>
      </w:pPr>
      <w:r>
        <w:rPr>
          <w:rFonts w:ascii="Arial" w:cs="Arial" w:eastAsia="Arial" w:hAnsi="Arial"/>
          <w:sz w:val="22"/>
          <w:szCs w:val="22"/>
        </w:rPr>
        <w:t xml:space="preserve">Provide actionable procedural guidance with verified links to official government portals.</w:t>
      </w:r>
    </w:p>
    <w:p>
      <w:pPr>
        <w:pStyle w:val="ListParagraph"/>
        <w:numPr>
          <w:ilvl w:val="0"/>
          <w:numId w:val="3"/>
        </w:numPr>
        <w:spacing w:after="40" w:before="40" w:line="300"/>
      </w:pPr>
      <w:r>
        <w:rPr>
          <w:rFonts w:ascii="Arial" w:cs="Arial" w:eastAsia="Arial" w:hAnsi="Arial"/>
          <w:sz w:val="22"/>
          <w:szCs w:val="22"/>
        </w:rPr>
        <w:t xml:space="preserve">Prototype on-device semantic search and multimodal document ingestion as stretch R&amp;D goals.</w:t>
      </w:r>
    </w:p>
    <w:p>
      <w:pPr>
        <w:spacing w:after="6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3. System Architecture Overview</w:t>
      </w:r>
    </w:p>
    <w:p>
      <w:pPr>
        <w:pStyle w:val="Heading2"/>
        <w:spacing w:after="80" w:before="280"/>
      </w:pPr>
      <w:r>
        <w:rPr>
          <w:rFonts w:ascii="Arial" w:cs="Arial" w:eastAsia="Arial" w:hAnsi="Arial"/>
          <w:b/>
          <w:bCs/>
          <w:color w:val="2E75B6"/>
          <w:sz w:val="26"/>
          <w:szCs w:val="26"/>
        </w:rPr>
        <w:t xml:space="preserve">3.1 Nine-Aim Technical Framework</w:t>
      </w:r>
    </w:p>
    <w:p>
      <w:pPr>
        <w:spacing w:after="80" w:before="60" w:line="320"/>
      </w:pPr>
      <w:r>
        <w:rPr>
          <w:rFonts w:ascii="Arial" w:cs="Arial" w:eastAsia="Arial" w:hAnsi="Arial"/>
          <w:b w:val="false"/>
          <w:bCs w:val="false"/>
          <w:color w:val="000000"/>
          <w:sz w:val="22"/>
          <w:szCs w:val="22"/>
        </w:rPr>
        <w:t xml:space="preserve">The project is structured across nine aims, each representing a distinct architectural layer. Together, they form a complete sociotechnical system — from raw data ingestion to citizen-facing mobile interaction.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360"/>
        <w:gridCol w:w="2900"/>
      </w:tblGrid>
      <w:tr>
        <w:trPr>
          <w:tblHeader/>
        </w:trPr>
        <w:tc>
          <w:tcPr>
            <w:tcW w:type="dxa" w:w="9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Aim</w:t>
            </w:r>
          </w:p>
        </w:tc>
        <w:tc>
          <w:tcPr>
            <w:tcW w:type="dxa" w:w="22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36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9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Technologies</w:t>
            </w:r>
          </w:p>
        </w:tc>
      </w:tr>
      <w:tr>
        <w:tc>
          <w:tcPr>
            <w:tcW w:type="dxa" w:w="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Core Infrastructure</w:t>
            </w:r>
          </w:p>
        </w:tc>
        <w:tc>
          <w:tcPr>
            <w:tcW w:type="dxa" w:w="3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Mobile-first Flutter app with offline SQLite, FastAPI backend orchestrator, and dual cloud databases (PostgreSQL + Qdrant vector store).</w:t>
            </w:r>
          </w:p>
        </w:tc>
        <w:tc>
          <w:tcPr>
            <w:tcW w:type="dxa" w:w="2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Flutter, FastAPI, SQLite, Supabase, Qdrant, HNSW</w:t>
            </w:r>
          </w:p>
        </w:tc>
      </w:tr>
      <w:tr>
        <w:tc>
          <w:tcPr>
            <w:tcW w:type="dxa" w:w="9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2</w:t>
            </w:r>
          </w:p>
        </w:tc>
        <w:tc>
          <w:tcPr>
            <w:tcW w:type="dxa" w:w="22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Data Ingestion &amp; Security</w:t>
            </w:r>
          </w:p>
        </w:tc>
        <w:tc>
          <w:tcPr>
            <w:tcW w:type="dxa" w:w="3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Automated scraping pipeline with OCR for English and Urdu Nastaliq documents, NER-based anonymization, AES-256 encryption, and Anonymous Mode.</w:t>
            </w:r>
          </w:p>
        </w:tc>
        <w:tc>
          <w:tcPr>
            <w:tcW w:type="dxa" w:w="29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GitHub Actions, Tesseract, UTRNet, SpaCy, LughaatNLP, TLS 1.3</w:t>
            </w:r>
          </w:p>
        </w:tc>
      </w:tr>
      <w:tr>
        <w:tc>
          <w:tcPr>
            <w:tcW w:type="dxa" w:w="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3</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Smart Search (RAG-1)</w:t>
            </w:r>
          </w:p>
        </w:tc>
        <w:tc>
          <w:tcPr>
            <w:tcW w:type="dxa" w:w="3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Deterministic multi-stage retrieval engine combining BM25 keyword search and fine-tuned Sentence Transformers, with Cross-Encoder reranking.</w:t>
            </w:r>
          </w:p>
        </w:tc>
        <w:tc>
          <w:tcPr>
            <w:tcW w:type="dxa" w:w="2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BM25, Sentence-Transformers, Cross-Encoder, Qdrant</w:t>
            </w:r>
          </w:p>
        </w:tc>
      </w:tr>
      <w:tr>
        <w:tc>
          <w:tcPr>
            <w:tcW w:type="dxa" w:w="9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4</w:t>
            </w:r>
          </w:p>
        </w:tc>
        <w:tc>
          <w:tcPr>
            <w:tcW w:type="dxa" w:w="22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Generative AI (RAG-2)</w:t>
            </w:r>
          </w:p>
        </w:tc>
        <w:tc>
          <w:tcPr>
            <w:tcW w:type="dxa" w:w="3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Llama 3.1 (8B) fine-tuned via LoRA/PEFT on Pakistani jurisprudence, strictly grounded to retrieved context only — zero hallucination architecture.</w:t>
            </w:r>
          </w:p>
        </w:tc>
        <w:tc>
          <w:tcPr>
            <w:tcW w:type="dxa" w:w="29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Llama 3.1 8B, LoRA, PEFT, Hugging Face</w:t>
            </w:r>
          </w:p>
        </w:tc>
      </w:tr>
      <w:tr>
        <w:tc>
          <w:tcPr>
            <w:tcW w:type="dxa" w:w="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5</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Bilingual CLIR</w:t>
            </w:r>
          </w:p>
        </w:tc>
        <w:tc>
          <w:tcPr>
            <w:tcW w:type="dxa" w:w="3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Cross-Lingual Information Retrieval pipeline: Urdu query → English search → English generation → Urdu output, using specialized legal-translation models.</w:t>
            </w:r>
          </w:p>
        </w:tc>
        <w:tc>
          <w:tcPr>
            <w:tcW w:type="dxa" w:w="2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mBART/NLLB, Specialized Legal NMT</w:t>
            </w:r>
          </w:p>
        </w:tc>
      </w:tr>
      <w:tr>
        <w:tc>
          <w:tcPr>
            <w:tcW w:type="dxa" w:w="9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6</w:t>
            </w:r>
          </w:p>
        </w:tc>
        <w:tc>
          <w:tcPr>
            <w:tcW w:type="dxa" w:w="22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Document Factory</w:t>
            </w:r>
          </w:p>
        </w:tc>
        <w:tc>
          <w:tcPr>
            <w:tcW w:type="dxa" w:w="3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AI-driven contextual interview to draft legally sound documents, injected into LaTeX templates for court-ready stamp-paper PDFs.</w:t>
            </w:r>
          </w:p>
        </w:tc>
        <w:tc>
          <w:tcPr>
            <w:tcW w:type="dxa" w:w="29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LaTeX, Jinja2, ReportLab/pdflatex</w:t>
            </w:r>
          </w:p>
        </w:tc>
      </w:tr>
      <w:tr>
        <w:tc>
          <w:tcPr>
            <w:tcW w:type="dxa" w:w="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7</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Citation Network</w:t>
            </w:r>
          </w:p>
        </w:tc>
        <w:tc>
          <w:tcPr>
            <w:tcW w:type="dxa" w:w="3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PostgreSQL knowledge graph linking statutory sections to Supreme Court and High Court judgments, with LLM-powered objective summarization.</w:t>
            </w:r>
          </w:p>
        </w:tc>
        <w:tc>
          <w:tcPr>
            <w:tcW w:type="dxa" w:w="2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PostgreSQL Graph, LLM Summarization</w:t>
            </w:r>
          </w:p>
        </w:tc>
      </w:tr>
      <w:tr>
        <w:tc>
          <w:tcPr>
            <w:tcW w:type="dxa" w:w="9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8</w:t>
            </w:r>
          </w:p>
        </w:tc>
        <w:tc>
          <w:tcPr>
            <w:tcW w:type="dxa" w:w="22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Procedural Guidance</w:t>
            </w:r>
          </w:p>
        </w:tc>
        <w:tc>
          <w:tcPr>
            <w:tcW w:type="dxa" w:w="3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Hardcoded, verified official URLs (NADRA, Pakistan Citizen Portal) appended to procedural retrieval results to prevent hallucinated links.</w:t>
            </w:r>
          </w:p>
        </w:tc>
        <w:tc>
          <w:tcPr>
            <w:tcW w:type="dxa" w:w="29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FastAPI, PostgreSQL</w:t>
            </w:r>
          </w:p>
        </w:tc>
      </w:tr>
      <w:tr>
        <w:tc>
          <w:tcPr>
            <w:tcW w:type="dxa" w:w="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9</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R&amp;D Stretch Goals</w:t>
            </w:r>
          </w:p>
        </w:tc>
        <w:tc>
          <w:tcPr>
            <w:tcW w:type="dxa" w:w="3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On-device semantic retrieval via TFLite, fine-tuned legal translation models, and multimodal image ingestion of physical documents via OCR pipeline.</w:t>
            </w:r>
          </w:p>
        </w:tc>
        <w:tc>
          <w:tcPr>
            <w:tcW w:type="dxa" w:w="2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TensorFlow Lite, OCR, Multimodal AI</w:t>
            </w:r>
          </w:p>
        </w:tc>
      </w:tr>
    </w:tbl>
    <w:p>
      <w:pPr>
        <w:spacing w:after="60" w:before="0"/>
      </w:pPr>
      <w:r>
        <w:t xml:space="preserve"/>
      </w:r>
    </w:p>
    <w:p>
      <w:r>
        <w:br w:type="page"/>
      </w:r>
    </w:p>
    <w:p>
      <w:pPr>
        <w:pStyle w:val="Heading1"/>
        <w:pBdr>
          <w:bottom w:val="single" w:color="2E75B6" w:sz="8" w:space="4"/>
        </w:pBdr>
        <w:spacing w:after="120" w:before="360"/>
      </w:pPr>
      <w:r>
        <w:rPr>
          <w:rFonts w:ascii="Arial" w:cs="Arial" w:eastAsia="Arial" w:hAnsi="Arial"/>
          <w:b/>
          <w:bCs/>
          <w:color w:val="1B3A6B"/>
          <w:sz w:val="32"/>
          <w:szCs w:val="32"/>
        </w:rPr>
        <w:t xml:space="preserve">4. Detailed Technical Specification</w:t>
      </w:r>
    </w:p>
    <w:p>
      <w:pPr>
        <w:pStyle w:val="Heading2"/>
        <w:spacing w:after="80" w:before="280"/>
      </w:pPr>
      <w:r>
        <w:rPr>
          <w:rFonts w:ascii="Arial" w:cs="Arial" w:eastAsia="Arial" w:hAnsi="Arial"/>
          <w:b/>
          <w:bCs/>
          <w:color w:val="2E75B6"/>
          <w:sz w:val="26"/>
          <w:szCs w:val="26"/>
        </w:rPr>
        <w:t xml:space="preserve">Aim 1 — Core Software Infrastructure: Mobile-First &amp; Hybrid Database</w:t>
      </w:r>
    </w:p>
    <w:p>
      <w:pPr>
        <w:pStyle w:val="Heading3"/>
        <w:spacing w:after="60" w:before="200"/>
      </w:pPr>
      <w:r>
        <w:rPr>
          <w:rFonts w:ascii="Arial" w:cs="Arial" w:eastAsia="Arial" w:hAnsi="Arial"/>
          <w:b/>
          <w:bCs/>
          <w:color w:val="C0392B"/>
          <w:sz w:val="22"/>
          <w:szCs w:val="22"/>
        </w:rPr>
        <w:t xml:space="preserve">4.1.1 Design Philosophy</w:t>
      </w:r>
    </w:p>
    <w:p>
      <w:pPr>
        <w:spacing w:after="80" w:before="60" w:line="320"/>
      </w:pPr>
      <w:r>
        <w:rPr>
          <w:rFonts w:ascii="Arial" w:cs="Arial" w:eastAsia="Arial" w:hAnsi="Arial"/>
          <w:b w:val="false"/>
          <w:bCs w:val="false"/>
          <w:color w:val="000000"/>
          <w:sz w:val="22"/>
          <w:szCs w:val="22"/>
        </w:rPr>
        <w:t xml:space="preserve">The foundational infrastructure is designed around two governing principles: mobile-first accessibility and hybrid database architecture. Pakistan's internet penetration is heavily skewed toward mobile (96% of internet users access via mobile), and connectivity is unreliable in rural areas. The architecture responds to both realities.</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4.1.2 Mobile Frontend: Flutter Offline-First Application</w:t>
      </w:r>
    </w:p>
    <w:p>
      <w:pPr>
        <w:spacing w:after="80" w:before="60" w:line="320"/>
      </w:pPr>
      <w:r>
        <w:rPr>
          <w:rFonts w:ascii="Arial" w:cs="Arial" w:eastAsia="Arial" w:hAnsi="Arial"/>
          <w:b w:val="false"/>
          <w:bCs w:val="false"/>
          <w:color w:val="000000"/>
          <w:sz w:val="22"/>
          <w:szCs w:val="22"/>
        </w:rPr>
        <w:t xml:space="preserve">Flutter is selected as the cross-platform framework, enabling a single Dart codebase to produce native-quality applications for both Android and iOS. This maximizes reach without doubling development effort.</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The critical innovation is the Offline-First architecture: a local SQLite database is embedded directly within the device. This database stores the static layer of Pakistani law — the Constitution of Pakistan (1973), the Pakistan Penal Code, the Code of Civil Procedure, the Evidence Act, major Family Laws, and other foundational statutes. A citizen in a remote area with no internet connection can still query the text of specific sections, search by topic, and read the law.</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A CI/CD-driven delta update mechanism ensures that whenever laws are amended in government gazettes, lightweight diff-patches are pushed to the mobile application, keeping the offline corpus current without requiring a full re-download.</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4.1.3 Backend Orchestrator: FastAPI</w:t>
      </w:r>
    </w:p>
    <w:p>
      <w:pPr>
        <w:spacing w:after="80" w:before="60" w:line="320"/>
      </w:pPr>
      <w:r>
        <w:rPr>
          <w:rFonts w:ascii="Arial" w:cs="Arial" w:eastAsia="Arial" w:hAnsi="Arial"/>
          <w:b w:val="false"/>
          <w:bCs w:val="false"/>
          <w:color w:val="000000"/>
          <w:sz w:val="22"/>
          <w:szCs w:val="22"/>
        </w:rPr>
        <w:t xml:space="preserve">FastAPI is selected for the Python-based backend for three reasons: its fully asynchronous ASGI architecture allows concurrent handling of AI inference requests without blocking; its native Pydantic data validation reduces API contract bugs; and its OpenAPI auto-documentation simplifies frontend integration. The backend orchestrates authentication, request routing, RAG pipeline coordination, and AI inference delegation.</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4.1.4 Cloud Database: Dual Architecture</w:t>
      </w:r>
    </w:p>
    <w:p>
      <w:pPr>
        <w:spacing w:after="80" w:before="60" w:line="320"/>
      </w:pPr>
      <w:r>
        <w:rPr>
          <w:rFonts w:ascii="Arial" w:cs="Arial" w:eastAsia="Arial" w:hAnsi="Arial"/>
          <w:b w:val="false"/>
          <w:bCs w:val="false"/>
          <w:color w:val="000000"/>
          <w:sz w:val="22"/>
          <w:szCs w:val="22"/>
        </w:rPr>
        <w:t xml:space="preserve">The cloud layer uses a purpose-built dual database strategy rather than forcing all data into a single store:</w:t>
      </w:r>
    </w:p>
    <w:p>
      <w:pPr>
        <w:pStyle w:val="ListParagraph"/>
        <w:numPr>
          <w:ilvl w:val="0"/>
          <w:numId w:val="2"/>
        </w:numPr>
        <w:spacing w:after="40" w:before="40" w:line="300"/>
      </w:pPr>
      <w:r>
        <w:rPr>
          <w:rFonts w:ascii="Arial" w:cs="Arial" w:eastAsia="Arial" w:hAnsi="Arial"/>
          <w:sz w:val="22"/>
          <w:szCs w:val="22"/>
        </w:rPr>
        <w:t xml:space="preserve">Supabase (PostgreSQL): Handles all relational data — user accounts, law metadata, statutory sections, court judgments structured as relational records, citation links, and procedural guidance. Row-Level Security (RLS) policies enforce data access control at the database layer, not just the application layer.</w:t>
      </w:r>
    </w:p>
    <w:p>
      <w:pPr>
        <w:pStyle w:val="ListParagraph"/>
        <w:numPr>
          <w:ilvl w:val="0"/>
          <w:numId w:val="2"/>
        </w:numPr>
        <w:spacing w:after="40" w:before="40" w:line="300"/>
      </w:pPr>
      <w:r>
        <w:rPr>
          <w:rFonts w:ascii="Arial" w:cs="Arial" w:eastAsia="Arial" w:hAnsi="Arial"/>
          <w:sz w:val="22"/>
          <w:szCs w:val="22"/>
        </w:rPr>
        <w:t xml:space="preserve">Qdrant (Vector Database): Manages dense vector embeddings of all legal text. Qdrant's HNSW (Hierarchical Navigable Small World) indexing enables approximate nearest-neighbor search at millisecond latency across millions of document chunks. Filterable payloads allow retrieval to be scoped to specific acts, sections, or courts.</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2 — Data Ingestion, Privacy &amp; Security</w:t>
      </w:r>
    </w:p>
    <w:p>
      <w:pPr>
        <w:pStyle w:val="Heading3"/>
        <w:spacing w:after="60" w:before="200"/>
      </w:pPr>
      <w:r>
        <w:rPr>
          <w:rFonts w:ascii="Arial" w:cs="Arial" w:eastAsia="Arial" w:hAnsi="Arial"/>
          <w:b/>
          <w:bCs/>
          <w:color w:val="C0392B"/>
          <w:sz w:val="22"/>
          <w:szCs w:val="22"/>
        </w:rPr>
        <w:t xml:space="preserve">4.2.1 Scraping &amp; OCR Pipeline</w:t>
      </w:r>
    </w:p>
    <w:p>
      <w:pPr>
        <w:spacing w:after="80" w:before="60" w:line="320"/>
      </w:pPr>
      <w:r>
        <w:rPr>
          <w:rFonts w:ascii="Arial" w:cs="Arial" w:eastAsia="Arial" w:hAnsi="Arial"/>
          <w:b w:val="false"/>
          <w:bCs w:val="false"/>
          <w:color w:val="000000"/>
          <w:sz w:val="22"/>
          <w:szCs w:val="22"/>
        </w:rPr>
        <w:t xml:space="preserve">Pakistani legal data exists across multiple sources — the Pakistan Code website, provincial government portals, the Supreme Court of Pakistan website, and physical law gazettes. The ingestion pipeline addresses this fragmented landscape through automated scraping.</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GitHub Actions workflows execute daily scraping jobs targeting these sources. For digitally published documents, HTML parsing extracts statutory text directly. For scanned PDFs — which constitute the majority of historical judgments and gazette notifications — a two-stage OCR pipeline is applied:</w:t>
      </w:r>
    </w:p>
    <w:p>
      <w:pPr>
        <w:pStyle w:val="ListParagraph"/>
        <w:numPr>
          <w:ilvl w:val="0"/>
          <w:numId w:val="2"/>
        </w:numPr>
        <w:spacing w:after="40" w:before="40" w:line="300"/>
      </w:pPr>
      <w:r>
        <w:rPr>
          <w:rFonts w:ascii="Arial" w:cs="Arial" w:eastAsia="Arial" w:hAnsi="Arial"/>
          <w:sz w:val="22"/>
          <w:szCs w:val="22"/>
        </w:rPr>
        <w:t xml:space="preserve">Tesseract 5 (with custom legal vocabulary fine-tuning) for English-language documents, achieving high accuracy on court-typeset formats.</w:t>
      </w:r>
    </w:p>
    <w:p>
      <w:pPr>
        <w:pStyle w:val="ListParagraph"/>
        <w:numPr>
          <w:ilvl w:val="0"/>
          <w:numId w:val="2"/>
        </w:numPr>
        <w:spacing w:after="40" w:before="40" w:line="300"/>
      </w:pPr>
      <w:r>
        <w:rPr>
          <w:rFonts w:ascii="Arial" w:cs="Arial" w:eastAsia="Arial" w:hAnsi="Arial"/>
          <w:sz w:val="22"/>
          <w:szCs w:val="22"/>
        </w:rPr>
        <w:t xml:space="preserve">UTRNet — a state-of-the-art neural OCR model specifically designed for Urdu Nastaliq script — for Urdu-language statutes and notifications. Nastaliq presents unique OCR challenges due to its cursive, context-dependent letterform system that differs fundamentally from Latin scripts.</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4.2.2 Privacy by Design: NER-Based Anonymization</w:t>
      </w:r>
    </w:p>
    <w:p>
      <w:pPr>
        <w:spacing w:after="80" w:before="60" w:line="320"/>
      </w:pPr>
      <w:r>
        <w:rPr>
          <w:rFonts w:ascii="Arial" w:cs="Arial" w:eastAsia="Arial" w:hAnsi="Arial"/>
          <w:b w:val="false"/>
          <w:bCs w:val="false"/>
          <w:color w:val="000000"/>
          <w:sz w:val="22"/>
          <w:szCs w:val="22"/>
        </w:rPr>
        <w:t xml:space="preserve">Legal training data frequently contains personally identifiable information (PII): party names, CNIC numbers, addresses, phone numbers, and financial details. Including such data in training corpora without anonymization would violate privacy norms and potentially Pakistani data protection obligations.</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The pipeline applies Named Entity Recognition (NER) using two complementary libraries: SpaCy for standard English PII detection, and LughaatNLP — Pakistan's leading open-source Urdu NLP library — for Urdu entity recognition. Detected PII is automatically replaced with typed placeholders (e.g., [PERSON], [CNIC], [ADDRESS]) before any data enters the training or retrieval corpora.</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4.2.3 Data Security Architecture</w:t>
      </w:r>
    </w:p>
    <w:p>
      <w:pPr>
        <w:spacing w:after="80" w:before="60" w:line="320"/>
      </w:pPr>
      <w:r>
        <w:rPr>
          <w:rFonts w:ascii="Arial" w:cs="Arial" w:eastAsia="Arial" w:hAnsi="Arial"/>
          <w:b w:val="false"/>
          <w:bCs w:val="false"/>
          <w:color w:val="000000"/>
          <w:sz w:val="22"/>
          <w:szCs w:val="22"/>
        </w:rPr>
        <w:t xml:space="preserve">Security is enforced at every layer of the stack:</w:t>
      </w:r>
    </w:p>
    <w:p>
      <w:pPr>
        <w:pStyle w:val="ListParagraph"/>
        <w:numPr>
          <w:ilvl w:val="0"/>
          <w:numId w:val="2"/>
        </w:numPr>
        <w:spacing w:after="40" w:before="40" w:line="300"/>
      </w:pPr>
      <w:r>
        <w:rPr>
          <w:rFonts w:ascii="Arial" w:cs="Arial" w:eastAsia="Arial" w:hAnsi="Arial"/>
          <w:sz w:val="22"/>
          <w:szCs w:val="22"/>
        </w:rPr>
        <w:t xml:space="preserve">Transport Security: All client-server communication is encrypted via TLS 1.3, the current industry gold standard, preventing man-in-the-middle interception of legal queries — which may concern sensitive personal legal matters.</w:t>
      </w:r>
    </w:p>
    <w:p>
      <w:pPr>
        <w:pStyle w:val="ListParagraph"/>
        <w:numPr>
          <w:ilvl w:val="0"/>
          <w:numId w:val="2"/>
        </w:numPr>
        <w:spacing w:after="40" w:before="40" w:line="300"/>
      </w:pPr>
      <w:r>
        <w:rPr>
          <w:rFonts w:ascii="Arial" w:cs="Arial" w:eastAsia="Arial" w:hAnsi="Arial"/>
          <w:sz w:val="22"/>
          <w:szCs w:val="22"/>
        </w:rPr>
        <w:t xml:space="preserve">Data at Rest: The Supabase PostgreSQL instance enforces AES-256 encryption for all stored data, including user query histories and case notes.</w:t>
      </w:r>
    </w:p>
    <w:p>
      <w:pPr>
        <w:pStyle w:val="ListParagraph"/>
        <w:numPr>
          <w:ilvl w:val="0"/>
          <w:numId w:val="2"/>
        </w:numPr>
        <w:spacing w:after="40" w:before="40" w:line="300"/>
      </w:pPr>
      <w:r>
        <w:rPr>
          <w:rFonts w:ascii="Arial" w:cs="Arial" w:eastAsia="Arial" w:hAnsi="Arial"/>
          <w:sz w:val="22"/>
          <w:szCs w:val="22"/>
        </w:rPr>
        <w:t xml:space="preserve">Anonymous Mode: A privacy-preserving mode processes user queries entirely within volatile memory (RAM). No query, no session data, and no result is written to any persistent store. This mode is designed for users seeking legal guidance on sensitive matters — family disputes, criminal exposure, immigration status — where they require absolute assurance that no record of their inquiry is retained.</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3 — Smart Search &amp; Retrieval System (RAG Engine 1)</w:t>
      </w:r>
    </w:p>
    <w:p>
      <w:pPr>
        <w:pStyle w:val="Heading3"/>
        <w:spacing w:after="60" w:before="200"/>
      </w:pPr>
      <w:r>
        <w:rPr>
          <w:rFonts w:ascii="Arial" w:cs="Arial" w:eastAsia="Arial" w:hAnsi="Arial"/>
          <w:b/>
          <w:bCs/>
          <w:color w:val="C0392B"/>
          <w:sz w:val="22"/>
          <w:szCs w:val="22"/>
        </w:rPr>
        <w:t xml:space="preserve">4.3.1 Motivation for Multi-Stage Retrieval</w:t>
      </w:r>
    </w:p>
    <w:p>
      <w:pPr>
        <w:spacing w:after="80" w:before="60" w:line="320"/>
      </w:pPr>
      <w:r>
        <w:rPr>
          <w:rFonts w:ascii="Arial" w:cs="Arial" w:eastAsia="Arial" w:hAnsi="Arial"/>
          <w:b w:val="false"/>
          <w:bCs w:val="false"/>
          <w:color w:val="000000"/>
          <w:sz w:val="22"/>
          <w:szCs w:val="22"/>
        </w:rPr>
        <w:t xml:space="preserve">Naive retrieval approaches — single-vector semantic search or simple keyword matching — fail in the legal domain. A user searching for 'murder punishment' may need Section 302 PPC (exact keyword), while a user searching for 'what happens if someone kills intentionally' requires semantic understanding. Neither alone is sufficient. A single-vector search also has no gating mechanism: it returns results regardless of their actual relevance, causing hallucination risk downstream.</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4.3.2 BM25 Lexical Search</w:t>
      </w:r>
    </w:p>
    <w:p>
      <w:pPr>
        <w:spacing w:after="80" w:before="60" w:line="320"/>
      </w:pPr>
      <w:r>
        <w:rPr>
          <w:rFonts w:ascii="Arial" w:cs="Arial" w:eastAsia="Arial" w:hAnsi="Arial"/>
          <w:b w:val="false"/>
          <w:bCs w:val="false"/>
          <w:color w:val="000000"/>
          <w:sz w:val="22"/>
          <w:szCs w:val="22"/>
        </w:rPr>
        <w:t xml:space="preserve">BM25 (Best Match 25) is a probabilistic ranking function that scores documents based on term frequency, inverse document frequency, and document length normalization. In the legal retrieval context, BM25 excels at matching specific statutory references (Section 302, Article 184(3), SRO 745) and legal terms of art that have precise meanings which semantic models can misinterpret. BM25 indexes are maintained in PostgreSQL using its built-in full-text search functionality.</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4.3.3 Dense Semantic Search</w:t>
      </w:r>
    </w:p>
    <w:p>
      <w:pPr>
        <w:spacing w:after="80" w:before="60" w:line="320"/>
      </w:pPr>
      <w:r>
        <w:rPr>
          <w:rFonts w:ascii="Arial" w:cs="Arial" w:eastAsia="Arial" w:hAnsi="Arial"/>
          <w:b w:val="false"/>
          <w:bCs w:val="false"/>
          <w:color w:val="000000"/>
          <w:sz w:val="22"/>
          <w:szCs w:val="22"/>
        </w:rPr>
        <w:t xml:space="preserve">Sentence-Transformer models (specifically fine-tuned variants of models such as all-mpnet-base-v2 or legal-bert) encode both the user query and all document chunks into a shared high-dimensional vector space. Semantic similarity is then computed via cosine distance in Qdrant's HNSW index. This approach captures meaning across paraphrases and legal synonyms — for instance, retrieving documents about 'right to fair trial' even when the user queries 'can I get a lawyer during arrest'.</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4.3.4 Cross-Encoder Reranking</w:t>
      </w:r>
    </w:p>
    <w:p>
      <w:pPr>
        <w:spacing w:after="80" w:before="60" w:line="320"/>
      </w:pPr>
      <w:r>
        <w:rPr>
          <w:rFonts w:ascii="Arial" w:cs="Arial" w:eastAsia="Arial" w:hAnsi="Arial"/>
          <w:b w:val="false"/>
          <w:bCs w:val="false"/>
          <w:color w:val="000000"/>
          <w:sz w:val="22"/>
          <w:szCs w:val="22"/>
        </w:rPr>
        <w:t xml:space="preserve">The outputs of BM25 and dense search are merged and passed to a Cross-Encoder reranker. Unlike bi-encoder models that embed query and document independently, the Cross-Encoder takes the (query, document) pair as joint input, enabling it to model fine-grained relevance interactions. It outputs a scalar relevance score for each candidate chunk.</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This reranker acts as a strict gatekeeper: only chunks scoring above a calibrated relevance threshold proceed to the generative AI stage. This architectural decision is fundamental to the zero-hallucination guarantee — if no relevant legal text is retrieved, the system reports 'insufficient legal basis found' rather than generating plausible-sounding but fabricated law.</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4 — Generative AI Legal Consultant (RAG Engine 2)</w:t>
      </w:r>
    </w:p>
    <w:p>
      <w:pPr>
        <w:pStyle w:val="Heading3"/>
        <w:spacing w:after="60" w:before="200"/>
      </w:pPr>
      <w:r>
        <w:rPr>
          <w:rFonts w:ascii="Arial" w:cs="Arial" w:eastAsia="Arial" w:hAnsi="Arial"/>
          <w:b/>
          <w:bCs/>
          <w:color w:val="C0392B"/>
          <w:sz w:val="22"/>
          <w:szCs w:val="22"/>
        </w:rPr>
        <w:t xml:space="preserve">4.4.1 Model Selection: Llama 3.1 8B</w:t>
      </w:r>
    </w:p>
    <w:p>
      <w:pPr>
        <w:spacing w:after="80" w:before="60" w:line="320"/>
      </w:pPr>
      <w:r>
        <w:rPr>
          <w:rFonts w:ascii="Arial" w:cs="Arial" w:eastAsia="Arial" w:hAnsi="Arial"/>
          <w:b w:val="false"/>
          <w:bCs w:val="false"/>
          <w:color w:val="000000"/>
          <w:sz w:val="22"/>
          <w:szCs w:val="22"/>
        </w:rPr>
        <w:t xml:space="preserve">Meta's Llama 3.1 (8 Billion parameter) model is selected as the base for several reasons: it is fully open-source and licensable for research and commercial use; its 8B parameter count is large enough to exhibit strong legal reasoning while small enough for practical fine-tuning on available compute; its 128K token context window accommodates lengthy statutory documents and judgment excerpts; and its instruction-tuned variant (Llama-3.1-8B-Instruct) provides a strong starting point for task-specific adaptation.</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4.4.2 Parameter-Efficient Fine-Tuning via LoRA</w:t>
      </w:r>
    </w:p>
    <w:p>
      <w:pPr>
        <w:spacing w:after="80" w:before="60" w:line="320"/>
      </w:pPr>
      <w:r>
        <w:rPr>
          <w:rFonts w:ascii="Arial" w:cs="Arial" w:eastAsia="Arial" w:hAnsi="Arial"/>
          <w:b w:val="false"/>
          <w:bCs w:val="false"/>
          <w:color w:val="000000"/>
          <w:sz w:val="22"/>
          <w:szCs w:val="22"/>
        </w:rPr>
        <w:t xml:space="preserve">Full fine-tuning of an 8B parameter model requires approximately 80GB of VRAM — impractical for academic projects. Low-Rank Adaptation (LoRA), a PEFT technique, addresses this by freezing the original model weights and injecting small trainable rank-decomposition matrices into the attention layers. This reduces trainable parameters by approximately 99%, enabling fine-tuning on a single consumer GPU (16–24GB VRAM) or via cloud services such as Google Colab Pro or Lambda Labs.</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The fine-tuning corpus will consist of curated Pakistani legal Q&amp;A pairs, statutory interpretation examples, and court judgment analysis tasks. The objective is to adapt the model to: Pakistani legal lexicon (qanoon, muddai, farad jurm), correct citation formats (PLD, SCMR, YLR), jurisdiction-specific procedural knowledge, and the logical structure of Pakistani jurisprudence.</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4.4.3 Strict RAG Grounding: The Anti-Hallucination Contract</w:t>
      </w:r>
    </w:p>
    <w:p>
      <w:pPr>
        <w:spacing w:after="80" w:before="60" w:line="320"/>
      </w:pPr>
      <w:r>
        <w:rPr>
          <w:rFonts w:ascii="Arial" w:cs="Arial" w:eastAsia="Arial" w:hAnsi="Arial"/>
          <w:b w:val="false"/>
          <w:bCs w:val="false"/>
          <w:color w:val="000000"/>
          <w:sz w:val="22"/>
          <w:szCs w:val="22"/>
        </w:rPr>
        <w:t xml:space="preserve">The fine-tuned model operates under a strict architectural contract enforced at the backend prompting layer. The system prompt explicitly instructs the model:</w:t>
      </w:r>
    </w:p>
    <w:p>
      <w:pPr>
        <w:pStyle w:val="ListParagraph"/>
        <w:numPr>
          <w:ilvl w:val="0"/>
          <w:numId w:val="2"/>
        </w:numPr>
        <w:spacing w:after="40" w:before="40" w:line="300"/>
      </w:pPr>
      <w:r>
        <w:rPr>
          <w:rFonts w:ascii="Arial" w:cs="Arial" w:eastAsia="Arial" w:hAnsi="Arial"/>
          <w:sz w:val="22"/>
          <w:szCs w:val="22"/>
        </w:rPr>
        <w:t xml:space="preserve">You are a legal assistant for Pakistani law. Answer ONLY using the provided context documents.</w:t>
      </w:r>
    </w:p>
    <w:p>
      <w:pPr>
        <w:pStyle w:val="ListParagraph"/>
        <w:numPr>
          <w:ilvl w:val="0"/>
          <w:numId w:val="2"/>
        </w:numPr>
        <w:spacing w:after="40" w:before="40" w:line="300"/>
      </w:pPr>
      <w:r>
        <w:rPr>
          <w:rFonts w:ascii="Arial" w:cs="Arial" w:eastAsia="Arial" w:hAnsi="Arial"/>
          <w:sz w:val="22"/>
          <w:szCs w:val="22"/>
        </w:rPr>
        <w:t xml:space="preserve">If the context does not contain sufficient information to answer the question, respond: 'I cannot find a legal basis for this in the provided statutes.'</w:t>
      </w:r>
    </w:p>
    <w:p>
      <w:pPr>
        <w:pStyle w:val="ListParagraph"/>
        <w:numPr>
          <w:ilvl w:val="0"/>
          <w:numId w:val="2"/>
        </w:numPr>
        <w:spacing w:after="40" w:before="40" w:line="300"/>
      </w:pPr>
      <w:r>
        <w:rPr>
          <w:rFonts w:ascii="Arial" w:cs="Arial" w:eastAsia="Arial" w:hAnsi="Arial"/>
          <w:sz w:val="22"/>
          <w:szCs w:val="22"/>
        </w:rPr>
        <w:t xml:space="preserve">Always cite the specific section, act, or judgment from which your answer derives.</w:t>
      </w:r>
    </w:p>
    <w:p>
      <w:pPr>
        <w:pStyle w:val="ListParagraph"/>
        <w:numPr>
          <w:ilvl w:val="0"/>
          <w:numId w:val="2"/>
        </w:numPr>
        <w:spacing w:after="40" w:before="40" w:line="300"/>
      </w:pPr>
      <w:r>
        <w:rPr>
          <w:rFonts w:ascii="Arial" w:cs="Arial" w:eastAsia="Arial" w:hAnsi="Arial"/>
          <w:sz w:val="22"/>
          <w:szCs w:val="22"/>
        </w:rPr>
        <w:t xml:space="preserve">Never invent, extrapolate, or speculate about legal provisions not present in the retrieved context.</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The model's internal training-time knowledge of law is intentionally suppressed in favor of the dynamically retrieved, verified statutory text. This separation of retrieval from generation is the defining architectural principle that enables guaranteed factual accuracy.</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5 — Bilingual Translation Layer (Cross-Lingual Information Retrieval)</w:t>
      </w:r>
    </w:p>
    <w:p>
      <w:pPr>
        <w:pStyle w:val="Heading3"/>
        <w:spacing w:after="60" w:before="200"/>
      </w:pPr>
      <w:r>
        <w:rPr>
          <w:rFonts w:ascii="Arial" w:cs="Arial" w:eastAsia="Arial" w:hAnsi="Arial"/>
          <w:b/>
          <w:bCs/>
          <w:color w:val="C0392B"/>
          <w:sz w:val="22"/>
          <w:szCs w:val="22"/>
        </w:rPr>
        <w:t xml:space="preserve">4.5.1 The Urdu Accessibility Imperative</w:t>
      </w:r>
    </w:p>
    <w:p>
      <w:pPr>
        <w:spacing w:after="80" w:before="60" w:line="320"/>
      </w:pPr>
      <w:r>
        <w:rPr>
          <w:rFonts w:ascii="Arial" w:cs="Arial" w:eastAsia="Arial" w:hAnsi="Arial"/>
          <w:b w:val="false"/>
          <w:bCs w:val="false"/>
          <w:color w:val="000000"/>
          <w:sz w:val="22"/>
          <w:szCs w:val="22"/>
        </w:rPr>
        <w:t xml:space="preserve">Urdu is the national language of Pakistan and the primary language of the majority of its citizens. Yet the vast majority of legal statutes, court judgments, and legal reference materials exist in English. A platform that operates only in English reproduces the very exclusion it seeks to remedy. Conversely, building a parallel Urdu legal corpus of the same quality as the English one is infeasible within an FYP timeline.</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4.5.2 CLIR Architecture</w:t>
      </w:r>
    </w:p>
    <w:p>
      <w:pPr>
        <w:spacing w:after="80" w:before="60" w:line="320"/>
      </w:pPr>
      <w:r>
        <w:rPr>
          <w:rFonts w:ascii="Arial" w:cs="Arial" w:eastAsia="Arial" w:hAnsi="Arial"/>
          <w:b w:val="false"/>
          <w:bCs w:val="false"/>
          <w:color w:val="000000"/>
          <w:sz w:val="22"/>
          <w:szCs w:val="22"/>
        </w:rPr>
        <w:t xml:space="preserve">Cross-Lingual Information Retrieval resolves this tension through a pipeline approach:</w:t>
      </w:r>
    </w:p>
    <w:p>
      <w:pPr>
        <w:pStyle w:val="ListParagraph"/>
        <w:numPr>
          <w:ilvl w:val="0"/>
          <w:numId w:val="3"/>
        </w:numPr>
        <w:spacing w:after="40" w:before="40" w:line="300"/>
      </w:pPr>
      <w:r>
        <w:rPr>
          <w:rFonts w:ascii="Arial" w:cs="Arial" w:eastAsia="Arial" w:hAnsi="Arial"/>
          <w:sz w:val="22"/>
          <w:szCs w:val="22"/>
        </w:rPr>
        <w:t xml:space="preserve">Urdu Query Input: The user submits a question in Urdu (e.g., 'طلاق کے بعد بچوں کی تحویل کا حق کسے ملتا ہے').</w:t>
      </w:r>
    </w:p>
    <w:p>
      <w:pPr>
        <w:pStyle w:val="ListParagraph"/>
        <w:numPr>
          <w:ilvl w:val="0"/>
          <w:numId w:val="3"/>
        </w:numPr>
        <w:spacing w:after="40" w:before="40" w:line="300"/>
      </w:pPr>
      <w:r>
        <w:rPr>
          <w:rFonts w:ascii="Arial" w:cs="Arial" w:eastAsia="Arial" w:hAnsi="Arial"/>
          <w:sz w:val="22"/>
          <w:szCs w:val="22"/>
        </w:rPr>
        <w:t xml:space="preserve">Legal-Domain Translation (Urdu → English): The query is translated to English using a specialized neural machine translation model fine-tuned on legal terminology, rather than a generic API like Google Translate, which systematically mistranslates legal terms of art.</w:t>
      </w:r>
    </w:p>
    <w:p>
      <w:pPr>
        <w:pStyle w:val="ListParagraph"/>
        <w:numPr>
          <w:ilvl w:val="0"/>
          <w:numId w:val="3"/>
        </w:numPr>
        <w:spacing w:after="40" w:before="40" w:line="300"/>
      </w:pPr>
      <w:r>
        <w:rPr>
          <w:rFonts w:ascii="Arial" w:cs="Arial" w:eastAsia="Arial" w:hAnsi="Arial"/>
          <w:sz w:val="22"/>
          <w:szCs w:val="22"/>
        </w:rPr>
        <w:t xml:space="preserve">English Search &amp; Generation: The translated English query is passed to the full RAG pipeline — BM25, semantic search, reranking, and Llama generation — operating against the high-quality English legal corpus.</w:t>
      </w:r>
    </w:p>
    <w:p>
      <w:pPr>
        <w:pStyle w:val="ListParagraph"/>
        <w:numPr>
          <w:ilvl w:val="0"/>
          <w:numId w:val="3"/>
        </w:numPr>
        <w:spacing w:after="40" w:before="40" w:line="300"/>
      </w:pPr>
      <w:r>
        <w:rPr>
          <w:rFonts w:ascii="Arial" w:cs="Arial" w:eastAsia="Arial" w:hAnsi="Arial"/>
          <w:sz w:val="22"/>
          <w:szCs w:val="22"/>
        </w:rPr>
        <w:t xml:space="preserve">Response Translation (English → Urdu): The English-language answer and citations are translated back to Urdu for presentation to the user.</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This architecture leverages the robustness of the English legal corpus while delivering a native Urdu user experience. FLORES-200 and specialized legal MT benchmarks will be used to evaluate translation quality.</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6 — The Intelligent Document Factory</w:t>
      </w:r>
    </w:p>
    <w:p>
      <w:pPr>
        <w:pStyle w:val="Heading3"/>
        <w:spacing w:after="60" w:before="200"/>
      </w:pPr>
      <w:r>
        <w:rPr>
          <w:rFonts w:ascii="Arial" w:cs="Arial" w:eastAsia="Arial" w:hAnsi="Arial"/>
          <w:b/>
          <w:bCs/>
          <w:color w:val="C0392B"/>
          <w:sz w:val="22"/>
          <w:szCs w:val="22"/>
        </w:rPr>
        <w:t xml:space="preserve">4.6.1 The Problem with Standard Legal Documents in Pakistan</w:t>
      </w:r>
    </w:p>
    <w:p>
      <w:pPr>
        <w:spacing w:after="80" w:before="60" w:line="320"/>
      </w:pPr>
      <w:r>
        <w:rPr>
          <w:rFonts w:ascii="Arial" w:cs="Arial" w:eastAsia="Arial" w:hAnsi="Arial"/>
          <w:b w:val="false"/>
          <w:bCs w:val="false"/>
          <w:color w:val="000000"/>
          <w:sz w:val="22"/>
          <w:szCs w:val="22"/>
        </w:rPr>
        <w:t xml:space="preserve">In Pakistan, many legal transactions — property sales, rental agreements, nikah registrations, affidavits, power of attorney instruments — require execution on government-issued stamp paper. These documents must adhere to precise formatting conventions, include specific mandatory clauses under relevant acts, and meet court standards for admissibility. Citizens who cannot afford lawyers routinely use improperly formatted documents that are later challenged or rejected.</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4.6.2 AI-Driven Document Generation Pipeline</w:t>
      </w:r>
    </w:p>
    <w:p>
      <w:pPr>
        <w:spacing w:after="80" w:before="60" w:line="320"/>
      </w:pPr>
      <w:r>
        <w:rPr>
          <w:rFonts w:ascii="Arial" w:cs="Arial" w:eastAsia="Arial" w:hAnsi="Arial"/>
          <w:b w:val="false"/>
          <w:bCs w:val="false"/>
          <w:color w:val="000000"/>
          <w:sz w:val="22"/>
          <w:szCs w:val="22"/>
        </w:rPr>
        <w:t xml:space="preserve">Mizan AI's Document Factory automates this process through a three-stage pipeline:</w:t>
      </w:r>
    </w:p>
    <w:p>
      <w:pPr>
        <w:pStyle w:val="ListParagraph"/>
        <w:numPr>
          <w:ilvl w:val="0"/>
          <w:numId w:val="3"/>
        </w:numPr>
        <w:spacing w:after="40" w:before="40" w:line="300"/>
      </w:pPr>
      <w:r>
        <w:rPr>
          <w:rFonts w:ascii="Arial" w:cs="Arial" w:eastAsia="Arial" w:hAnsi="Arial"/>
          <w:sz w:val="22"/>
          <w:szCs w:val="22"/>
        </w:rPr>
        <w:t xml:space="preserve">Contextual Interview: The AI engages the user in a structured dialogue to extract the variables required for the specific document type — parties' names, CNIC numbers, property description, agreed terms, applicable jurisdiction. The interview logic adapts based on document type (commercial lease vs. residential tenancy; general power of attorney vs. special power of attorney).</w:t>
      </w:r>
    </w:p>
    <w:p>
      <w:pPr>
        <w:pStyle w:val="ListParagraph"/>
        <w:numPr>
          <w:ilvl w:val="0"/>
          <w:numId w:val="3"/>
        </w:numPr>
        <w:spacing w:after="40" w:before="40" w:line="300"/>
      </w:pPr>
      <w:r>
        <w:rPr>
          <w:rFonts w:ascii="Arial" w:cs="Arial" w:eastAsia="Arial" w:hAnsi="Arial"/>
          <w:sz w:val="22"/>
          <w:szCs w:val="22"/>
        </w:rPr>
        <w:t xml:space="preserve">Clause Selection Engine: Backend business logic — not AI generation — selects the legally appropriate clauses based on the user's inputs. For instance, a commercial lease in Khyber Pakhtunkhwa triggers different stamp duty provisions than one in Punjab. Clause selection is deterministic and audited, not generated.</w:t>
      </w:r>
    </w:p>
    <w:p>
      <w:pPr>
        <w:pStyle w:val="ListParagraph"/>
        <w:numPr>
          <w:ilvl w:val="0"/>
          <w:numId w:val="3"/>
        </w:numPr>
        <w:spacing w:after="40" w:before="40" w:line="300"/>
      </w:pPr>
      <w:r>
        <w:rPr>
          <w:rFonts w:ascii="Arial" w:cs="Arial" w:eastAsia="Arial" w:hAnsi="Arial"/>
          <w:sz w:val="22"/>
          <w:szCs w:val="22"/>
        </w:rPr>
        <w:t xml:space="preserve">LaTeX PDF Rendering: The selected clauses and user-provided variables are injected into professionally typeset LaTeX templates via Jinja2. pdflatex compiles the output to a high-quality PDF formatted specifically for Pakistani stamp paper dimensions, with correct margins for stamp affixing, page numbering, and witness signature blocks.</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7 — Citation Network &amp; Judicial Summarization</w:t>
      </w:r>
    </w:p>
    <w:p>
      <w:pPr>
        <w:pStyle w:val="Heading3"/>
        <w:spacing w:after="60" w:before="200"/>
      </w:pPr>
      <w:r>
        <w:rPr>
          <w:rFonts w:ascii="Arial" w:cs="Arial" w:eastAsia="Arial" w:hAnsi="Arial"/>
          <w:b/>
          <w:bCs/>
          <w:color w:val="C0392B"/>
          <w:sz w:val="22"/>
          <w:szCs w:val="22"/>
        </w:rPr>
        <w:t xml:space="preserve">4.7.1 The Value of Precedent</w:t>
      </w:r>
    </w:p>
    <w:p>
      <w:pPr>
        <w:spacing w:after="80" w:before="60" w:line="320"/>
      </w:pPr>
      <w:r>
        <w:rPr>
          <w:rFonts w:ascii="Arial" w:cs="Arial" w:eastAsia="Arial" w:hAnsi="Arial"/>
          <w:b w:val="false"/>
          <w:bCs w:val="false"/>
          <w:color w:val="000000"/>
          <w:sz w:val="22"/>
          <w:szCs w:val="22"/>
        </w:rPr>
        <w:t xml:space="preserve">Pakistani courts operate under a system of binding precedent (stare decisis). A Supreme Court judgment interpreting a statutory section is as legally significant as the section itself. Without visibility into how courts have applied and interpreted laws, even accurate statutory retrieval gives an incomplete picture of the legal landscape.</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4.7.2 Knowledge Graph Architecture</w:t>
      </w:r>
    </w:p>
    <w:p>
      <w:pPr>
        <w:spacing w:after="80" w:before="60" w:line="320"/>
      </w:pPr>
      <w:r>
        <w:rPr>
          <w:rFonts w:ascii="Arial" w:cs="Arial" w:eastAsia="Arial" w:hAnsi="Arial"/>
          <w:b w:val="false"/>
          <w:bCs w:val="false"/>
          <w:color w:val="000000"/>
          <w:sz w:val="22"/>
          <w:szCs w:val="22"/>
        </w:rPr>
        <w:t xml:space="preserve">The PostgreSQL schema is designed to represent a citation knowledge graph:</w:t>
      </w:r>
    </w:p>
    <w:p>
      <w:pPr>
        <w:pStyle w:val="ListParagraph"/>
        <w:numPr>
          <w:ilvl w:val="0"/>
          <w:numId w:val="2"/>
        </w:numPr>
        <w:spacing w:after="40" w:before="40" w:line="300"/>
      </w:pPr>
      <w:r>
        <w:rPr>
          <w:rFonts w:ascii="Arial" w:cs="Arial" w:eastAsia="Arial" w:hAnsi="Arial"/>
          <w:sz w:val="22"/>
          <w:szCs w:val="22"/>
        </w:rPr>
        <w:t xml:space="preserve">Nodes: Statutory sections (e.g., Section 302 PPC), court judgments (referenced by PLD/SCMR citation), and constitutional articles.</w:t>
      </w:r>
    </w:p>
    <w:p>
      <w:pPr>
        <w:pStyle w:val="ListParagraph"/>
        <w:numPr>
          <w:ilvl w:val="0"/>
          <w:numId w:val="2"/>
        </w:numPr>
        <w:spacing w:after="40" w:before="40" w:line="300"/>
      </w:pPr>
      <w:r>
        <w:rPr>
          <w:rFonts w:ascii="Arial" w:cs="Arial" w:eastAsia="Arial" w:hAnsi="Arial"/>
          <w:sz w:val="22"/>
          <w:szCs w:val="22"/>
        </w:rPr>
        <w:t xml:space="preserve">Edges: Citation relationships — a judgment 'interprets', 'applies', 'overrules', or 'distinguishes' a statutory section or prior judgment. Edge metadata includes the court, year, and nature of the citation.</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This enables queries such as: 'Show me all Supreme Court judgments that have interpreted Section 302 PPC in the past 10 years' — answering not just what the law says, but how the highest courts have understood it.</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4.7.3 LLM-Powered Judgment Summarization</w:t>
      </w:r>
    </w:p>
    <w:p>
      <w:pPr>
        <w:spacing w:after="80" w:before="60" w:line="320"/>
      </w:pPr>
      <w:r>
        <w:rPr>
          <w:rFonts w:ascii="Arial" w:cs="Arial" w:eastAsia="Arial" w:hAnsi="Arial"/>
          <w:b w:val="false"/>
          <w:bCs w:val="false"/>
          <w:color w:val="000000"/>
          <w:sz w:val="22"/>
          <w:szCs w:val="22"/>
        </w:rPr>
        <w:t xml:space="preserve">Supreme Court and High Court judgments routinely run to 50–200 pages. The fine-tuned Llama model is tasked with generating structured, objective summaries of verified judgment text, extracting: factual background, statutes and provisions applied, arguments of both sides, court's reasoning and legal principles established, and final verdict and orders. These summaries are stored alongside the full text in the database and surfaced to users as digestible legal intelligence.</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8 — Procedural Guidance &amp; Official Routing</w:t>
      </w:r>
    </w:p>
    <w:p>
      <w:pPr>
        <w:pStyle w:val="Heading3"/>
        <w:spacing w:after="60" w:before="200"/>
      </w:pPr>
      <w:r>
        <w:rPr>
          <w:rFonts w:ascii="Arial" w:cs="Arial" w:eastAsia="Arial" w:hAnsi="Arial"/>
          <w:b/>
          <w:bCs/>
          <w:color w:val="C0392B"/>
          <w:sz w:val="22"/>
          <w:szCs w:val="22"/>
        </w:rPr>
        <w:t xml:space="preserve">4.8.1 Bridging Legal Knowledge with Practical Action</w:t>
      </w:r>
    </w:p>
    <w:p>
      <w:pPr>
        <w:spacing w:after="80" w:before="60" w:line="320"/>
      </w:pPr>
      <w:r>
        <w:rPr>
          <w:rFonts w:ascii="Arial" w:cs="Arial" w:eastAsia="Arial" w:hAnsi="Arial"/>
          <w:b w:val="false"/>
          <w:bCs w:val="false"/>
          <w:color w:val="000000"/>
          <w:sz w:val="22"/>
          <w:szCs w:val="22"/>
        </w:rPr>
        <w:t xml:space="preserve">Knowing the law is only part of the access-to-justice challenge. Citizens also need to know what to do with that knowledge — which court to file in, which form to complete, which government body to contact, what fees apply, and what the procedural sequence is. This is the 'last mile' of legal assistance that generic AI systems invariably fail on.</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4.8.2 Verified Procedural Database</w:t>
      </w:r>
    </w:p>
    <w:p>
      <w:pPr>
        <w:spacing w:after="80" w:before="60" w:line="320"/>
      </w:pPr>
      <w:r>
        <w:rPr>
          <w:rFonts w:ascii="Arial" w:cs="Arial" w:eastAsia="Arial" w:hAnsi="Arial"/>
          <w:b w:val="false"/>
          <w:bCs w:val="false"/>
          <w:color w:val="000000"/>
          <w:sz w:val="22"/>
          <w:szCs w:val="22"/>
        </w:rPr>
        <w:t xml:space="preserve">The procedural guidance module operates from a curated database of step-by-step guides authored by legal experts and verified by reference to official sources. These guides cover common legal actions: filing an FIR, challenging a detention under habeas corpus, initiating divorce proceedings under the Dissolution of Muslim Marriages Act, registering a property transfer, applying for succession certificate, and filing a consumer protection complaint.</w:t>
      </w:r>
    </w:p>
    <w:p>
      <w:pPr>
        <w:spacing w:after="20" w:before="0"/>
      </w:pPr>
      <w:r>
        <w:t xml:space="preserve"/>
      </w:r>
    </w:p>
    <w:p>
      <w:pPr>
        <w:spacing w:after="80" w:before="60" w:line="320"/>
      </w:pPr>
      <w:r>
        <w:rPr>
          <w:rFonts w:ascii="Arial" w:cs="Arial" w:eastAsia="Arial" w:hAnsi="Arial"/>
          <w:b w:val="false"/>
          <w:bCs w:val="false"/>
          <w:color w:val="000000"/>
          <w:sz w:val="22"/>
          <w:szCs w:val="22"/>
        </w:rPr>
        <w:t xml:space="preserve">Critically, all official URLs — Pakistan Citizen Portal, NADRA services, FBR tax portal, Securities &amp; Exchange Commission, provincial revenue authorities — are hardcoded in the database from verified official sources. They are never generated by the AI model, eliminating the hallucinated-link problem that affects general-purpose language models.</w:t>
      </w:r>
    </w:p>
    <w:p>
      <w:pPr>
        <w:spacing w:after="60" w:before="0"/>
      </w:pPr>
      <w:r>
        <w:t xml:space="preserve"/>
      </w:r>
    </w:p>
    <w:p>
      <w:pPr>
        <w:pStyle w:val="Heading2"/>
        <w:spacing w:after="80" w:before="280"/>
      </w:pPr>
      <w:r>
        <w:rPr>
          <w:rFonts w:ascii="Arial" w:cs="Arial" w:eastAsia="Arial" w:hAnsi="Arial"/>
          <w:b/>
          <w:bCs/>
          <w:color w:val="2E75B6"/>
          <w:sz w:val="26"/>
          <w:szCs w:val="26"/>
        </w:rPr>
        <w:t xml:space="preserve">Aim 9 — Experimental R&amp;D (Stretch Goals)</w:t>
      </w:r>
    </w:p>
    <w:p>
      <w:pPr>
        <w:pStyle w:val="Heading3"/>
        <w:spacing w:after="60" w:before="200"/>
      </w:pPr>
      <w:r>
        <w:rPr>
          <w:rFonts w:ascii="Arial" w:cs="Arial" w:eastAsia="Arial" w:hAnsi="Arial"/>
          <w:b/>
          <w:bCs/>
          <w:color w:val="C0392B"/>
          <w:sz w:val="22"/>
          <w:szCs w:val="22"/>
        </w:rPr>
        <w:t xml:space="preserve">4.9.1 On-Device Semantic Retrieval via TensorFlow Lite</w:t>
      </w:r>
    </w:p>
    <w:p>
      <w:pPr>
        <w:spacing w:after="80" w:before="60" w:line="320"/>
      </w:pPr>
      <w:r>
        <w:rPr>
          <w:rFonts w:ascii="Arial" w:cs="Arial" w:eastAsia="Arial" w:hAnsi="Arial"/>
          <w:b w:val="false"/>
          <w:bCs w:val="false"/>
          <w:color w:val="000000"/>
          <w:sz w:val="22"/>
          <w:szCs w:val="22"/>
        </w:rPr>
        <w:t xml:space="preserve">As a research stretch goal, the project will explore deploying lightweight semantic retrieval models directly on the mobile device using TensorFlow Lite quantized models. This would enable meaning-based legal search without any internet connection — a significant advancement beyond the current offline-first keyword-only approach. Candidates include quantized versions of MiniLM or TinyBERT, evaluated on latency and accuracy tradeoffs on representative Android hardware.</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4.9.2 Fine-Tuned Legal Translation Models</w:t>
      </w:r>
    </w:p>
    <w:p>
      <w:pPr>
        <w:spacing w:after="80" w:before="60" w:line="320"/>
      </w:pPr>
      <w:r>
        <w:rPr>
          <w:rFonts w:ascii="Arial" w:cs="Arial" w:eastAsia="Arial" w:hAnsi="Arial"/>
          <w:b w:val="false"/>
          <w:bCs w:val="false"/>
          <w:color w:val="000000"/>
          <w:sz w:val="22"/>
          <w:szCs w:val="22"/>
        </w:rPr>
        <w:t xml:space="preserve">Rather than relying on general-purpose NMT APIs, this stretch goal explores training small, dedicated Urdu-English legal translation models on a curated parallel corpus of statutory text. The hypothesis is that specialized models will significantly outperform general models on legal terminology, measured against expert human translations of a held-out test set.</w:t>
      </w:r>
    </w:p>
    <w:p>
      <w:pPr>
        <w:spacing w:after="20" w:before="0"/>
      </w:pPr>
      <w:r>
        <w:t xml:space="preserve"/>
      </w:r>
    </w:p>
    <w:p>
      <w:pPr>
        <w:pStyle w:val="Heading3"/>
        <w:spacing w:after="60" w:before="200"/>
      </w:pPr>
      <w:r>
        <w:rPr>
          <w:rFonts w:ascii="Arial" w:cs="Arial" w:eastAsia="Arial" w:hAnsi="Arial"/>
          <w:b/>
          <w:bCs/>
          <w:color w:val="C0392B"/>
          <w:sz w:val="22"/>
          <w:szCs w:val="22"/>
        </w:rPr>
        <w:t xml:space="preserve">4.9.3 Multimodal Document Ingestion</w:t>
      </w:r>
    </w:p>
    <w:p>
      <w:pPr>
        <w:spacing w:after="80" w:before="60" w:line="320"/>
      </w:pPr>
      <w:r>
        <w:rPr>
          <w:rFonts w:ascii="Arial" w:cs="Arial" w:eastAsia="Arial" w:hAnsi="Arial"/>
          <w:b w:val="false"/>
          <w:bCs w:val="false"/>
          <w:color w:val="000000"/>
          <w:sz w:val="22"/>
          <w:szCs w:val="22"/>
        </w:rPr>
        <w:t xml:space="preserve">Pakistan's legal system still relies heavily on physical documents — hand-signed contracts on stamp paper, handwritten court orders, physical FIR copies. This stretch goal prototypes a pipeline where users photograph physical documents with their smartphone camera. The system applies UTRNet/Tesseract OCR to extract text from the image (handling both English and Urdu Nastaliq), then passes the extracted text to the RAG pipeline for analysis, summarization, and legal interpretation.</w:t>
      </w:r>
    </w:p>
    <w:p>
      <w:pPr>
        <w:spacing w:after="60" w:before="0"/>
      </w:pPr>
      <w:r>
        <w:t xml:space="preserve"/>
      </w:r>
    </w:p>
    <w:p>
      <w:r>
        <w:br w:type="page"/>
      </w:r>
    </w:p>
    <w:p>
      <w:pPr>
        <w:pStyle w:val="Heading1"/>
        <w:pBdr>
          <w:bottom w:val="single" w:color="2E75B6" w:sz="8" w:space="4"/>
        </w:pBdr>
        <w:spacing w:after="120" w:before="360"/>
      </w:pPr>
      <w:r>
        <w:rPr>
          <w:rFonts w:ascii="Arial" w:cs="Arial" w:eastAsia="Arial" w:hAnsi="Arial"/>
          <w:b/>
          <w:bCs/>
          <w:color w:val="1B3A6B"/>
          <w:sz w:val="32"/>
          <w:szCs w:val="32"/>
        </w:rPr>
        <w:t xml:space="preserve">5. Technology Stack Summary</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36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20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Justification</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Mobile Frontend</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Flutter (Dart)</w:t>
            </w:r>
          </w:p>
        </w:tc>
        <w:tc>
          <w:tcPr>
            <w:tcW w:type="dxa" w:w="2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iOS &amp; Android app</w:t>
            </w:r>
          </w:p>
        </w:tc>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Single codebase, offline-first SQLite support</w:t>
            </w:r>
          </w:p>
        </w:tc>
      </w:tr>
      <w:tr>
        <w:tc>
          <w:tcPr>
            <w:tcW w:type="dxa" w:w="20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Backend API</w:t>
            </w:r>
          </w:p>
        </w:tc>
        <w:tc>
          <w:tcPr>
            <w:tcW w:type="dxa" w:w="3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2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Async API orchestration</w:t>
            </w:r>
          </w:p>
        </w:tc>
        <w:tc>
          <w:tcPr>
            <w:tcW w:type="dxa" w:w="2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High throughput, native async, Pydantic validation</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Relational DB</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Supabase / PostgreSQL</w:t>
            </w:r>
          </w:p>
        </w:tc>
        <w:tc>
          <w:tcPr>
            <w:tcW w:type="dxa" w:w="2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Users, laws, citations</w:t>
            </w:r>
          </w:p>
        </w:tc>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Open-source, real-time subscriptions, RLS security</w:t>
            </w:r>
          </w:p>
        </w:tc>
      </w:tr>
      <w:tr>
        <w:tc>
          <w:tcPr>
            <w:tcW w:type="dxa" w:w="20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Vector DB</w:t>
            </w:r>
          </w:p>
        </w:tc>
        <w:tc>
          <w:tcPr>
            <w:tcW w:type="dxa" w:w="3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Qdrant</w:t>
            </w:r>
          </w:p>
        </w:tc>
        <w:tc>
          <w:tcPr>
            <w:tcW w:type="dxa" w:w="2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Semantic embeddings</w:t>
            </w:r>
          </w:p>
        </w:tc>
        <w:tc>
          <w:tcPr>
            <w:tcW w:type="dxa" w:w="2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HNSW indexing, production-grade, filterable</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AI Model</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Llama 3.1 8B + LoRA</w:t>
            </w:r>
          </w:p>
        </w:tc>
        <w:tc>
          <w:tcPr>
            <w:tcW w:type="dxa" w:w="2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Legal Q&amp;A generation</w:t>
            </w:r>
          </w:p>
        </w:tc>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Open-source, on-premise, PEFT-efficient fine-tuning</w:t>
            </w:r>
          </w:p>
        </w:tc>
      </w:tr>
      <w:tr>
        <w:tc>
          <w:tcPr>
            <w:tcW w:type="dxa" w:w="20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Embeddings</w:t>
            </w:r>
          </w:p>
        </w:tc>
        <w:tc>
          <w:tcPr>
            <w:tcW w:type="dxa" w:w="3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2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Dense vector search</w:t>
            </w:r>
          </w:p>
        </w:tc>
        <w:tc>
          <w:tcPr>
            <w:tcW w:type="dxa" w:w="2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Fine-tuneable, multilingual variants available</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Reranking</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Cross-Encoder</w:t>
            </w:r>
          </w:p>
        </w:tc>
        <w:tc>
          <w:tcPr>
            <w:tcW w:type="dxa" w:w="2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Result filtering</w:t>
            </w:r>
          </w:p>
        </w:tc>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Deterministic scoring, no generation risk</w:t>
            </w:r>
          </w:p>
        </w:tc>
      </w:tr>
      <w:tr>
        <w:tc>
          <w:tcPr>
            <w:tcW w:type="dxa" w:w="20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OCR (English)</w:t>
            </w:r>
          </w:p>
        </w:tc>
        <w:tc>
          <w:tcPr>
            <w:tcW w:type="dxa" w:w="3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Tesseract 5</w:t>
            </w:r>
          </w:p>
        </w:tc>
        <w:tc>
          <w:tcPr>
            <w:tcW w:type="dxa" w:w="2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Document digitization</w:t>
            </w:r>
          </w:p>
        </w:tc>
        <w:tc>
          <w:tcPr>
            <w:tcW w:type="dxa" w:w="2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Industry standard, open-source, battle-tested</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OCR (Urdu)</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UTRNet</w:t>
            </w:r>
          </w:p>
        </w:tc>
        <w:tc>
          <w:tcPr>
            <w:tcW w:type="dxa" w:w="2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Nastaliq script OCR</w:t>
            </w:r>
          </w:p>
        </w:tc>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State-of-art Urdu Nastaliq recognition model</w:t>
            </w:r>
          </w:p>
        </w:tc>
      </w:tr>
      <w:tr>
        <w:tc>
          <w:tcPr>
            <w:tcW w:type="dxa" w:w="20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NER / Privacy</w:t>
            </w:r>
          </w:p>
        </w:tc>
        <w:tc>
          <w:tcPr>
            <w:tcW w:type="dxa" w:w="3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SpaCy + LughaatNLP</w:t>
            </w:r>
          </w:p>
        </w:tc>
        <w:tc>
          <w:tcPr>
            <w:tcW w:type="dxa" w:w="2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PII redaction</w:t>
            </w:r>
          </w:p>
        </w:tc>
        <w:tc>
          <w:tcPr>
            <w:tcW w:type="dxa" w:w="2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Urdu-aware NLP, entity recognition</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Doc Generation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LaTeX + Jinja2</w:t>
            </w:r>
          </w:p>
        </w:tc>
        <w:tc>
          <w:tcPr>
            <w:tcW w:type="dxa" w:w="2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PDF legal documents</w:t>
            </w:r>
          </w:p>
        </w:tc>
        <w:tc>
          <w:tcPr>
            <w:tcW w:type="dxa" w:w="2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Court-quality typesetting, template injection</w:t>
            </w:r>
          </w:p>
        </w:tc>
      </w:tr>
      <w:tr>
        <w:tc>
          <w:tcPr>
            <w:tcW w:type="dxa" w:w="20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CI/CD</w:t>
            </w:r>
          </w:p>
        </w:tc>
        <w:tc>
          <w:tcPr>
            <w:tcW w:type="dxa" w:w="3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3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Gazette monitoring</w:t>
            </w:r>
          </w:p>
        </w:tc>
        <w:tc>
          <w:tcPr>
            <w:tcW w:type="dxa" w:w="20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Automated daily scraping and delta updates</w:t>
            </w:r>
          </w:p>
        </w:tc>
      </w:tr>
    </w:tbl>
    <w:p>
      <w:pPr>
        <w:spacing w:after="6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6. Project Timeline &amp; Milestones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860"/>
        <w:gridCol w:w="2200"/>
      </w:tblGrid>
      <w:tr>
        <w:trPr>
          <w:tblHeader/>
        </w:trPr>
        <w:tc>
          <w:tcPr>
            <w:tcW w:type="dxa" w:w="11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2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386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Deliverables</w:t>
            </w:r>
          </w:p>
        </w:tc>
        <w:tc>
          <w:tcPr>
            <w:tcW w:type="dxa" w:w="2200"/>
            <w:tcBorders>
              <w:top w:val="single" w:color="BBCCE0" w:sz="1"/>
              <w:left w:val="single" w:color="BBCCE0" w:sz="1"/>
              <w:bottom w:val="single" w:color="BBCCE0" w:sz="1"/>
              <w:right w:val="single" w:color="BBCCE0"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Milestone</w:t>
            </w:r>
          </w:p>
        </w:tc>
      </w:tr>
      <w:tr>
        <w:tc>
          <w:tcPr>
            <w:tcW w:type="dxa" w:w="11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1</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Weeks 1–4</w:t>
            </w:r>
          </w:p>
        </w:tc>
        <w:tc>
          <w:tcPr>
            <w:tcW w:type="dxa" w:w="38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Flutter skeleton, FastAPI base, Supabase schema, SQLite offline layer, CI/CD scaffold</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Infrastructure Checkpoint</w:t>
            </w:r>
          </w:p>
        </w:tc>
      </w:tr>
      <w:tr>
        <w:tc>
          <w:tcPr>
            <w:tcW w:type="dxa" w:w="11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Phase 2</w:t>
            </w:r>
          </w:p>
        </w:tc>
        <w:tc>
          <w:tcPr>
            <w:tcW w:type="dxa" w:w="22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Weeks 5–8</w:t>
            </w:r>
          </w:p>
        </w:tc>
        <w:tc>
          <w:tcPr>
            <w:tcW w:type="dxa" w:w="38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Scraping pipeline, Tesseract + UTRNet OCR, SpaCy NER anonymization, PostgreSQL legal corpus ingestion</w:t>
            </w:r>
          </w:p>
        </w:tc>
        <w:tc>
          <w:tcPr>
            <w:tcW w:type="dxa" w:w="22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Data Pipeline Ready</w:t>
            </w:r>
          </w:p>
        </w:tc>
      </w:tr>
      <w:tr>
        <w:tc>
          <w:tcPr>
            <w:tcW w:type="dxa" w:w="11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Weeks 9–12</w:t>
            </w:r>
          </w:p>
        </w:tc>
        <w:tc>
          <w:tcPr>
            <w:tcW w:type="dxa" w:w="38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Qdrant vector store, BM25 + Sentence-Transformer hybrid retrieval, Cross-Encoder reranker deployed</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Search Engine Live</w:t>
            </w:r>
          </w:p>
        </w:tc>
      </w:tr>
      <w:tr>
        <w:tc>
          <w:tcPr>
            <w:tcW w:type="dxa" w:w="11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Phase 4</w:t>
            </w:r>
          </w:p>
        </w:tc>
        <w:tc>
          <w:tcPr>
            <w:tcW w:type="dxa" w:w="22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Weeks 13–16</w:t>
            </w:r>
          </w:p>
        </w:tc>
        <w:tc>
          <w:tcPr>
            <w:tcW w:type="dxa" w:w="38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Llama 3.1 LoRA fine-tuning on Pakistani law dataset, RAG strict grounding enforced, Urdu CLIR pipeline</w:t>
            </w:r>
          </w:p>
        </w:tc>
        <w:tc>
          <w:tcPr>
            <w:tcW w:type="dxa" w:w="22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AI Core Operational</w:t>
            </w:r>
          </w:p>
        </w:tc>
      </w:tr>
      <w:tr>
        <w:tc>
          <w:tcPr>
            <w:tcW w:type="dxa" w:w="11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5</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Weeks 17–20</w:t>
            </w:r>
          </w:p>
        </w:tc>
        <w:tc>
          <w:tcPr>
            <w:tcW w:type="dxa" w:w="38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LaTeX document factory, Knowledge Graph citation linking, LLM judgment summarizer, procedural guidance module</w:t>
            </w:r>
          </w:p>
        </w:tc>
        <w:tc>
          <w:tcPr>
            <w:tcW w:type="dxa" w:w="22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sz w:val="20"/>
                <w:szCs w:val="20"/>
              </w:rPr>
              <w:t xml:space="preserve">Feature Complete</w:t>
            </w:r>
          </w:p>
        </w:tc>
      </w:tr>
      <w:tr>
        <w:tc>
          <w:tcPr>
            <w:tcW w:type="dxa" w:w="1100"/>
            <w:tcBorders>
              <w:top w:val="single" w:color="BBCCE0" w:sz="1"/>
              <w:left w:val="single" w:color="BBCCE0" w:sz="1"/>
              <w:bottom w:val="single" w:color="BBCCE0" w:sz="1"/>
              <w:right w:val="single" w:color="BBCCE0" w:sz="1"/>
            </w:tcBorders>
            <w:shd w:fill="D6E4F5" w:val="clear"/>
            <w:tcMar>
              <w:top w:type="dxa" w:w="80"/>
              <w:left w:type="dxa" w:w="120"/>
              <w:bottom w:type="dxa" w:w="80"/>
              <w:right w:type="dxa" w:w="120"/>
            </w:tcMar>
          </w:tcPr>
          <w:p>
            <w:r>
              <w:rPr>
                <w:rFonts w:ascii="Arial" w:cs="Arial" w:eastAsia="Arial" w:hAnsi="Arial"/>
                <w:b/>
                <w:bCs/>
                <w:color w:val="1B3A6B"/>
                <w:sz w:val="20"/>
                <w:szCs w:val="20"/>
              </w:rPr>
              <w:t xml:space="preserve">Phase 6</w:t>
            </w:r>
          </w:p>
        </w:tc>
        <w:tc>
          <w:tcPr>
            <w:tcW w:type="dxa" w:w="22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Weeks 21–24</w:t>
            </w:r>
          </w:p>
        </w:tc>
        <w:tc>
          <w:tcPr>
            <w:tcW w:type="dxa" w:w="386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TFLite on-device experiments, multimodal image ingestion, performance optimization, security audit, FYP demonstration</w:t>
            </w:r>
          </w:p>
        </w:tc>
        <w:tc>
          <w:tcPr>
            <w:tcW w:type="dxa" w:w="2200"/>
            <w:tcBorders>
              <w:top w:val="single" w:color="BBCCE0" w:sz="1"/>
              <w:left w:val="single" w:color="BBCCE0" w:sz="1"/>
              <w:bottom w:val="single" w:color="BBCCE0" w:sz="1"/>
              <w:right w:val="single" w:color="BBCCE0" w:sz="1"/>
            </w:tcBorders>
            <w:shd w:fill="F2F4F8" w:val="clear"/>
            <w:tcMar>
              <w:top w:type="dxa" w:w="80"/>
              <w:left w:type="dxa" w:w="120"/>
              <w:bottom w:type="dxa" w:w="80"/>
              <w:right w:type="dxa" w:w="120"/>
            </w:tcMar>
          </w:tcPr>
          <w:p>
            <w:r>
              <w:rPr>
                <w:rFonts w:ascii="Arial" w:cs="Arial" w:eastAsia="Arial" w:hAnsi="Arial"/>
                <w:sz w:val="20"/>
                <w:szCs w:val="20"/>
              </w:rPr>
              <w:t xml:space="preserve">Final Submission</w:t>
            </w:r>
          </w:p>
        </w:tc>
      </w:tr>
    </w:tbl>
    <w:p>
      <w:pPr>
        <w:spacing w:after="6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7. Evaluation Framework</w:t>
      </w:r>
    </w:p>
    <w:p>
      <w:pPr>
        <w:pStyle w:val="Heading2"/>
        <w:spacing w:after="80" w:before="280"/>
      </w:pPr>
      <w:r>
        <w:rPr>
          <w:rFonts w:ascii="Arial" w:cs="Arial" w:eastAsia="Arial" w:hAnsi="Arial"/>
          <w:b/>
          <w:bCs/>
          <w:color w:val="2E75B6"/>
          <w:sz w:val="26"/>
          <w:szCs w:val="26"/>
        </w:rPr>
        <w:t xml:space="preserve">7.1 Retrieval Quality</w:t>
      </w:r>
    </w:p>
    <w:p>
      <w:pPr>
        <w:spacing w:after="80" w:before="60" w:line="320"/>
      </w:pPr>
      <w:r>
        <w:rPr>
          <w:rFonts w:ascii="Arial" w:cs="Arial" w:eastAsia="Arial" w:hAnsi="Arial"/>
          <w:b w:val="false"/>
          <w:bCs w:val="false"/>
          <w:color w:val="000000"/>
          <w:sz w:val="22"/>
          <w:szCs w:val="22"/>
        </w:rPr>
        <w:t xml:space="preserve">The RAG retrieval pipeline will be evaluated using standard IR metrics on a held-out test set of 500 Pakistani legal queries annotated with ground-truth relevant sections:</w:t>
      </w:r>
    </w:p>
    <w:p>
      <w:pPr>
        <w:pStyle w:val="ListParagraph"/>
        <w:numPr>
          <w:ilvl w:val="0"/>
          <w:numId w:val="2"/>
        </w:numPr>
        <w:spacing w:after="40" w:before="40" w:line="300"/>
      </w:pPr>
      <w:r>
        <w:rPr>
          <w:rFonts w:ascii="Arial" w:cs="Arial" w:eastAsia="Arial" w:hAnsi="Arial"/>
          <w:sz w:val="22"/>
          <w:szCs w:val="22"/>
        </w:rPr>
        <w:t xml:space="preserve">Mean Reciprocal Rank (MRR@10): The reciprocal of the rank of the first relevant document retrieved.</w:t>
      </w:r>
    </w:p>
    <w:p>
      <w:pPr>
        <w:pStyle w:val="ListParagraph"/>
        <w:numPr>
          <w:ilvl w:val="0"/>
          <w:numId w:val="2"/>
        </w:numPr>
        <w:spacing w:after="40" w:before="40" w:line="300"/>
      </w:pPr>
      <w:r>
        <w:rPr>
          <w:rFonts w:ascii="Arial" w:cs="Arial" w:eastAsia="Arial" w:hAnsi="Arial"/>
          <w:sz w:val="22"/>
          <w:szCs w:val="22"/>
        </w:rPr>
        <w:t xml:space="preserve">Normalized Discounted Cumulative Gain (NDCG@10): Accounts for graded relevance at multiple rank positions.</w:t>
      </w:r>
    </w:p>
    <w:p>
      <w:pPr>
        <w:pStyle w:val="ListParagraph"/>
        <w:numPr>
          <w:ilvl w:val="0"/>
          <w:numId w:val="2"/>
        </w:numPr>
        <w:spacing w:after="40" w:before="40" w:line="300"/>
      </w:pPr>
      <w:r>
        <w:rPr>
          <w:rFonts w:ascii="Arial" w:cs="Arial" w:eastAsia="Arial" w:hAnsi="Arial"/>
          <w:sz w:val="22"/>
          <w:szCs w:val="22"/>
        </w:rPr>
        <w:t xml:space="preserve">Precision@K and Recall@K: Standard precision and recall at cutoff K.</w:t>
      </w:r>
    </w:p>
    <w:p>
      <w:pPr>
        <w:pStyle w:val="ListParagraph"/>
        <w:numPr>
          <w:ilvl w:val="0"/>
          <w:numId w:val="2"/>
        </w:numPr>
        <w:spacing w:after="40" w:before="40" w:line="300"/>
      </w:pPr>
      <w:r>
        <w:rPr>
          <w:rFonts w:ascii="Arial" w:cs="Arial" w:eastAsia="Arial" w:hAnsi="Arial"/>
          <w:sz w:val="22"/>
          <w:szCs w:val="22"/>
        </w:rPr>
        <w:t xml:space="preserve">Target: NDCG@10 ≥ 0.75 on the test set, representing retrieval quality comparable to established legal IR systems.</w:t>
      </w:r>
    </w:p>
    <w:p>
      <w:pPr>
        <w:spacing w:after="40" w:before="0"/>
      </w:pPr>
      <w:r>
        <w:t xml:space="preserve"/>
      </w:r>
    </w:p>
    <w:p>
      <w:pPr>
        <w:pStyle w:val="Heading2"/>
        <w:spacing w:after="80" w:before="280"/>
      </w:pPr>
      <w:r>
        <w:rPr>
          <w:rFonts w:ascii="Arial" w:cs="Arial" w:eastAsia="Arial" w:hAnsi="Arial"/>
          <w:b/>
          <w:bCs/>
          <w:color w:val="2E75B6"/>
          <w:sz w:val="26"/>
          <w:szCs w:val="26"/>
        </w:rPr>
        <w:t xml:space="preserve">7.2 Generation Accuracy</w:t>
      </w:r>
    </w:p>
    <w:p>
      <w:pPr>
        <w:spacing w:after="80" w:before="60" w:line="320"/>
      </w:pPr>
      <w:r>
        <w:rPr>
          <w:rFonts w:ascii="Arial" w:cs="Arial" w:eastAsia="Arial" w:hAnsi="Arial"/>
          <w:b w:val="false"/>
          <w:bCs w:val="false"/>
          <w:color w:val="000000"/>
          <w:sz w:val="22"/>
          <w:szCs w:val="22"/>
        </w:rPr>
        <w:t xml:space="preserve">The fine-tuned generative model will be evaluated on:</w:t>
      </w:r>
    </w:p>
    <w:p>
      <w:pPr>
        <w:pStyle w:val="ListParagraph"/>
        <w:numPr>
          <w:ilvl w:val="0"/>
          <w:numId w:val="2"/>
        </w:numPr>
        <w:spacing w:after="40" w:before="40" w:line="300"/>
      </w:pPr>
      <w:r>
        <w:rPr>
          <w:rFonts w:ascii="Arial" w:cs="Arial" w:eastAsia="Arial" w:hAnsi="Arial"/>
          <w:sz w:val="22"/>
          <w:szCs w:val="22"/>
        </w:rPr>
        <w:t xml:space="preserve">Hallucination Rate: Percentage of generated statements not supported by retrieved context, assessed by legal expert review.</w:t>
      </w:r>
    </w:p>
    <w:p>
      <w:pPr>
        <w:pStyle w:val="ListParagraph"/>
        <w:numPr>
          <w:ilvl w:val="0"/>
          <w:numId w:val="2"/>
        </w:numPr>
        <w:spacing w:after="40" w:before="40" w:line="300"/>
      </w:pPr>
      <w:r>
        <w:rPr>
          <w:rFonts w:ascii="Arial" w:cs="Arial" w:eastAsia="Arial" w:hAnsi="Arial"/>
          <w:sz w:val="22"/>
          <w:szCs w:val="22"/>
        </w:rPr>
        <w:t xml:space="preserve">Citation Accuracy: Percentage of cited sections/judgments that are correctly referenced and applicable.</w:t>
      </w:r>
    </w:p>
    <w:p>
      <w:pPr>
        <w:pStyle w:val="ListParagraph"/>
        <w:numPr>
          <w:ilvl w:val="0"/>
          <w:numId w:val="2"/>
        </w:numPr>
        <w:spacing w:after="40" w:before="40" w:line="300"/>
      </w:pPr>
      <w:r>
        <w:rPr>
          <w:rFonts w:ascii="Arial" w:cs="Arial" w:eastAsia="Arial" w:hAnsi="Arial"/>
          <w:sz w:val="22"/>
          <w:szCs w:val="22"/>
        </w:rPr>
        <w:t xml:space="preserve">ROUGE-L / BERTScore: Automated comparison of generated summaries against expert-authored ground truth summaries for judgment summarization.</w:t>
      </w:r>
    </w:p>
    <w:p>
      <w:pPr>
        <w:pStyle w:val="ListParagraph"/>
        <w:numPr>
          <w:ilvl w:val="0"/>
          <w:numId w:val="2"/>
        </w:numPr>
        <w:spacing w:after="40" w:before="40" w:line="300"/>
      </w:pPr>
      <w:r>
        <w:rPr>
          <w:rFonts w:ascii="Arial" w:cs="Arial" w:eastAsia="Arial" w:hAnsi="Arial"/>
          <w:sz w:val="22"/>
          <w:szCs w:val="22"/>
        </w:rPr>
        <w:t xml:space="preserve">Target: Hallucination rate &lt; 2% on the test set; citation accuracy &gt; 95%.</w:t>
      </w:r>
    </w:p>
    <w:p>
      <w:pPr>
        <w:spacing w:after="40" w:before="0"/>
      </w:pPr>
      <w:r>
        <w:t xml:space="preserve"/>
      </w:r>
    </w:p>
    <w:p>
      <w:pPr>
        <w:pStyle w:val="Heading2"/>
        <w:spacing w:after="80" w:before="280"/>
      </w:pPr>
      <w:r>
        <w:rPr>
          <w:rFonts w:ascii="Arial" w:cs="Arial" w:eastAsia="Arial" w:hAnsi="Arial"/>
          <w:b/>
          <w:bCs/>
          <w:color w:val="2E75B6"/>
          <w:sz w:val="26"/>
          <w:szCs w:val="26"/>
        </w:rPr>
        <w:t xml:space="preserve">7.3 Translation Quality</w:t>
      </w:r>
    </w:p>
    <w:p>
      <w:pPr>
        <w:spacing w:after="80" w:before="60" w:line="320"/>
      </w:pPr>
      <w:r>
        <w:rPr>
          <w:rFonts w:ascii="Arial" w:cs="Arial" w:eastAsia="Arial" w:hAnsi="Arial"/>
          <w:b w:val="false"/>
          <w:bCs w:val="false"/>
          <w:color w:val="000000"/>
          <w:sz w:val="22"/>
          <w:szCs w:val="22"/>
        </w:rPr>
        <w:t xml:space="preserve">CLIR translation will be evaluated using BLEU score and human evaluation by bilingual legal professionals on a test set of 100 Urdu legal queries and corresponding reference English translations.</w:t>
      </w:r>
    </w:p>
    <w:p>
      <w:pPr>
        <w:spacing w:after="40" w:before="0"/>
      </w:pPr>
      <w:r>
        <w:t xml:space="preserve"/>
      </w:r>
    </w:p>
    <w:p>
      <w:pPr>
        <w:pStyle w:val="Heading2"/>
        <w:spacing w:after="80" w:before="280"/>
      </w:pPr>
      <w:r>
        <w:rPr>
          <w:rFonts w:ascii="Arial" w:cs="Arial" w:eastAsia="Arial" w:hAnsi="Arial"/>
          <w:b/>
          <w:bCs/>
          <w:color w:val="2E75B6"/>
          <w:sz w:val="26"/>
          <w:szCs w:val="26"/>
        </w:rPr>
        <w:t xml:space="preserve">7.4 User Study</w:t>
      </w:r>
    </w:p>
    <w:p>
      <w:pPr>
        <w:spacing w:after="80" w:before="60" w:line="320"/>
      </w:pPr>
      <w:r>
        <w:rPr>
          <w:rFonts w:ascii="Arial" w:cs="Arial" w:eastAsia="Arial" w:hAnsi="Arial"/>
          <w:b w:val="false"/>
          <w:bCs w:val="false"/>
          <w:color w:val="000000"/>
          <w:sz w:val="22"/>
          <w:szCs w:val="22"/>
        </w:rPr>
        <w:t xml:space="preserve">A structured user study with 30 participants (stratified by legal literacy and Urdu/English preference) will evaluate task completion rate, answer trust, usability (SUS score), and comparative preference versus searching Pakistan Code manually.</w:t>
      </w:r>
    </w:p>
    <w:p>
      <w:pPr>
        <w:spacing w:after="6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8. Societal Impact &amp; Ethical Considerations</w:t>
      </w:r>
    </w:p>
    <w:p>
      <w:pPr>
        <w:pStyle w:val="Heading2"/>
        <w:spacing w:after="80" w:before="280"/>
      </w:pPr>
      <w:r>
        <w:rPr>
          <w:rFonts w:ascii="Arial" w:cs="Arial" w:eastAsia="Arial" w:hAnsi="Arial"/>
          <w:b/>
          <w:bCs/>
          <w:color w:val="2E75B6"/>
          <w:sz w:val="26"/>
          <w:szCs w:val="26"/>
        </w:rPr>
        <w:t xml:space="preserve">8.1 Impact Potential</w:t>
      </w:r>
    </w:p>
    <w:p>
      <w:pPr>
        <w:spacing w:after="80" w:before="60" w:line="320"/>
      </w:pPr>
      <w:r>
        <w:rPr>
          <w:rFonts w:ascii="Arial" w:cs="Arial" w:eastAsia="Arial" w:hAnsi="Arial"/>
          <w:b w:val="false"/>
          <w:bCs w:val="false"/>
          <w:color w:val="000000"/>
          <w:sz w:val="22"/>
          <w:szCs w:val="22"/>
        </w:rPr>
        <w:t xml:space="preserve">Mizan AI targets a measurable, high-stakes gap in Pakistani society. Successful deployment at scale would:</w:t>
      </w:r>
    </w:p>
    <w:p>
      <w:pPr>
        <w:pStyle w:val="ListParagraph"/>
        <w:numPr>
          <w:ilvl w:val="0"/>
          <w:numId w:val="2"/>
        </w:numPr>
        <w:spacing w:after="40" w:before="40" w:line="300"/>
      </w:pPr>
      <w:r>
        <w:rPr>
          <w:rFonts w:ascii="Arial" w:cs="Arial" w:eastAsia="Arial" w:hAnsi="Arial"/>
          <w:sz w:val="22"/>
          <w:szCs w:val="22"/>
        </w:rPr>
        <w:t xml:space="preserve">Reduce barriers to legal information for 220 million citizens, particularly rural, low-income, and Urdu-speaking populations.</w:t>
      </w:r>
    </w:p>
    <w:p>
      <w:pPr>
        <w:pStyle w:val="ListParagraph"/>
        <w:numPr>
          <w:ilvl w:val="0"/>
          <w:numId w:val="2"/>
        </w:numPr>
        <w:spacing w:after="40" w:before="40" w:line="300"/>
      </w:pPr>
      <w:r>
        <w:rPr>
          <w:rFonts w:ascii="Arial" w:cs="Arial" w:eastAsia="Arial" w:hAnsi="Arial"/>
          <w:sz w:val="22"/>
          <w:szCs w:val="22"/>
        </w:rPr>
        <w:t xml:space="preserve">Reduce frivolous or failed litigation arising from procedural ignorance, saving court system resources.</w:t>
      </w:r>
    </w:p>
    <w:p>
      <w:pPr>
        <w:pStyle w:val="ListParagraph"/>
        <w:numPr>
          <w:ilvl w:val="0"/>
          <w:numId w:val="2"/>
        </w:numPr>
        <w:spacing w:after="40" w:before="40" w:line="300"/>
      </w:pPr>
      <w:r>
        <w:rPr>
          <w:rFonts w:ascii="Arial" w:cs="Arial" w:eastAsia="Arial" w:hAnsi="Arial"/>
          <w:sz w:val="22"/>
          <w:szCs w:val="22"/>
        </w:rPr>
        <w:t xml:space="preserve">Empower citizens to understand their rights in family law, property disputes, consumer protection, and criminal procedures.</w:t>
      </w:r>
    </w:p>
    <w:p>
      <w:pPr>
        <w:pStyle w:val="ListParagraph"/>
        <w:numPr>
          <w:ilvl w:val="0"/>
          <w:numId w:val="2"/>
        </w:numPr>
        <w:spacing w:after="40" w:before="40" w:line="300"/>
      </w:pPr>
      <w:r>
        <w:rPr>
          <w:rFonts w:ascii="Arial" w:cs="Arial" w:eastAsia="Arial" w:hAnsi="Arial"/>
          <w:sz w:val="22"/>
          <w:szCs w:val="22"/>
        </w:rPr>
        <w:t xml:space="preserve">Complement — not replace — the legal profession by handling information access, freeing lawyers to focus on advocacy and representation.</w:t>
      </w:r>
    </w:p>
    <w:p>
      <w:pPr>
        <w:spacing w:after="40" w:before="0"/>
      </w:pPr>
      <w:r>
        <w:t xml:space="preserve"/>
      </w:r>
    </w:p>
    <w:p>
      <w:pPr>
        <w:pStyle w:val="Heading2"/>
        <w:spacing w:after="80" w:before="280"/>
      </w:pPr>
      <w:r>
        <w:rPr>
          <w:rFonts w:ascii="Arial" w:cs="Arial" w:eastAsia="Arial" w:hAnsi="Arial"/>
          <w:b/>
          <w:bCs/>
          <w:color w:val="2E75B6"/>
          <w:sz w:val="26"/>
          <w:szCs w:val="26"/>
        </w:rPr>
        <w:t xml:space="preserve">8.2 Ethical Guardrails</w:t>
      </w:r>
    </w:p>
    <w:p>
      <w:pPr>
        <w:spacing w:after="80" w:before="60" w:line="320"/>
      </w:pPr>
      <w:r>
        <w:rPr>
          <w:rFonts w:ascii="Arial" w:cs="Arial" w:eastAsia="Arial" w:hAnsi="Arial"/>
          <w:b w:val="false"/>
          <w:bCs w:val="false"/>
          <w:color w:val="000000"/>
          <w:sz w:val="22"/>
          <w:szCs w:val="22"/>
        </w:rPr>
        <w:t xml:space="preserve">The system is designed with explicit ethical limitations:</w:t>
      </w:r>
    </w:p>
    <w:p>
      <w:pPr>
        <w:pStyle w:val="ListParagraph"/>
        <w:numPr>
          <w:ilvl w:val="0"/>
          <w:numId w:val="2"/>
        </w:numPr>
        <w:spacing w:after="40" w:before="40" w:line="300"/>
      </w:pPr>
      <w:r>
        <w:rPr>
          <w:rFonts w:ascii="Arial" w:cs="Arial" w:eastAsia="Arial" w:hAnsi="Arial"/>
          <w:sz w:val="22"/>
          <w:szCs w:val="22"/>
        </w:rPr>
        <w:t xml:space="preserve">Mizan AI explicitly identifies itself as a legal information tool, not a licensed advocate. Every interaction includes a clear disclaimer that responses do not constitute legal advice and that users should consult a qualified lawyer for their specific circumstances.</w:t>
      </w:r>
    </w:p>
    <w:p>
      <w:pPr>
        <w:pStyle w:val="ListParagraph"/>
        <w:numPr>
          <w:ilvl w:val="0"/>
          <w:numId w:val="2"/>
        </w:numPr>
        <w:spacing w:after="40" w:before="40" w:line="300"/>
      </w:pPr>
      <w:r>
        <w:rPr>
          <w:rFonts w:ascii="Arial" w:cs="Arial" w:eastAsia="Arial" w:hAnsi="Arial"/>
          <w:sz w:val="22"/>
          <w:szCs w:val="22"/>
        </w:rPr>
        <w:t xml:space="preserve">No response urges a user to take or avoid a specific legal action in their personal case.</w:t>
      </w:r>
    </w:p>
    <w:p>
      <w:pPr>
        <w:pStyle w:val="ListParagraph"/>
        <w:numPr>
          <w:ilvl w:val="0"/>
          <w:numId w:val="2"/>
        </w:numPr>
        <w:spacing w:after="40" w:before="40" w:line="300"/>
      </w:pPr>
      <w:r>
        <w:rPr>
          <w:rFonts w:ascii="Arial" w:cs="Arial" w:eastAsia="Arial" w:hAnsi="Arial"/>
          <w:sz w:val="22"/>
          <w:szCs w:val="22"/>
        </w:rPr>
        <w:t xml:space="preserve">The Anonymous Mode ensures that users with sensitive legal concerns (domestic violence, criminal exposure, immigration status) can access information without any data retention risk.</w:t>
      </w:r>
    </w:p>
    <w:p>
      <w:pPr>
        <w:pStyle w:val="ListParagraph"/>
        <w:numPr>
          <w:ilvl w:val="0"/>
          <w:numId w:val="2"/>
        </w:numPr>
        <w:spacing w:after="40" w:before="40" w:line="300"/>
      </w:pPr>
      <w:r>
        <w:rPr>
          <w:rFonts w:ascii="Arial" w:cs="Arial" w:eastAsia="Arial" w:hAnsi="Arial"/>
          <w:sz w:val="22"/>
          <w:szCs w:val="22"/>
        </w:rPr>
        <w:t xml:space="preserve">All AI outputs are traceable to specific retrieved statutory sources, enabling expert review and accountability.</w:t>
      </w:r>
    </w:p>
    <w:p>
      <w:pPr>
        <w:spacing w:after="6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9. Conclusion</w:t>
      </w:r>
    </w:p>
    <w:p>
      <w:pPr>
        <w:spacing w:after="80" w:before="60" w:line="320"/>
      </w:pPr>
      <w:r>
        <w:rPr>
          <w:rFonts w:ascii="Arial" w:cs="Arial" w:eastAsia="Arial" w:hAnsi="Arial"/>
          <w:b w:val="false"/>
          <w:bCs w:val="false"/>
          <w:color w:val="000000"/>
          <w:sz w:val="22"/>
          <w:szCs w:val="22"/>
        </w:rPr>
        <w:t xml:space="preserve">Mizan AI represents a technically rigorous, socially purposeful Final Year Project at the intersection of Natural Language Processing, Information Retrieval, Mobile Systems, and Legal Technology. It applies the latest advances in retrieval-augmented generation, parameter-efficient fine-tuning, and cross-lingual AI to one of Pakistan's most pressing equity challenges: access to legal knowledge and justice.</w:t>
      </w:r>
    </w:p>
    <w:p>
      <w:pPr>
        <w:spacing w:after="40" w:before="0"/>
      </w:pPr>
      <w:r>
        <w:t xml:space="preserve"/>
      </w:r>
    </w:p>
    <w:p>
      <w:pPr>
        <w:spacing w:after="80" w:before="60" w:line="320"/>
      </w:pPr>
      <w:r>
        <w:rPr>
          <w:rFonts w:ascii="Arial" w:cs="Arial" w:eastAsia="Arial" w:hAnsi="Arial"/>
          <w:b w:val="false"/>
          <w:bCs w:val="false"/>
          <w:color w:val="000000"/>
          <w:sz w:val="22"/>
          <w:szCs w:val="22"/>
        </w:rPr>
        <w:t xml:space="preserve">The nine-aim architecture is designed to be both academically novel — advancing the state of the art in Urdu legal NLP — and practically deployable, built on production-grade open-source technologies that can serve real citizens at scale. The project's strict anti-hallucination architecture, privacy-first design, and offline-capable mobile delivery make it uniquely suited to Pakistan's infrastructure realities.</w:t>
      </w:r>
    </w:p>
    <w:p>
      <w:pPr>
        <w:spacing w:after="40" w:before="0"/>
      </w:pPr>
      <w:r>
        <w:t xml:space="preserve"/>
      </w:r>
    </w:p>
    <w:p>
      <w:pPr>
        <w:spacing w:after="80" w:before="60" w:line="320"/>
      </w:pPr>
      <w:r>
        <w:rPr>
          <w:rFonts w:ascii="Arial" w:cs="Arial" w:eastAsia="Arial" w:hAnsi="Arial"/>
          <w:b w:val="false"/>
          <w:bCs w:val="false"/>
          <w:color w:val="000000"/>
          <w:sz w:val="22"/>
          <w:szCs w:val="22"/>
        </w:rPr>
        <w:t xml:space="preserve">Mizan AI is not merely a demonstration of technical capability. It is a statement that artificial intelligence, applied with care and rigor, can be a genuine instrument of justice.</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References</w:t>
      </w:r>
    </w:p>
    <w:p>
      <w:pPr>
        <w:spacing w:after="80" w:before="60" w:line="320"/>
      </w:pPr>
      <w:r>
        <w:rPr>
          <w:rFonts w:ascii="Arial" w:cs="Arial" w:eastAsia="Arial" w:hAnsi="Arial"/>
          <w:b w:val="false"/>
          <w:bCs w:val="false"/>
          <w:color w:val="000000"/>
          <w:sz w:val="22"/>
          <w:szCs w:val="22"/>
        </w:rPr>
        <w:t xml:space="preserve">[1] Pakistan Bar Council. (2023). Annual Report on Legal Profession Statistics. Islamabad.</w:t>
      </w:r>
    </w:p>
    <w:p>
      <w:pPr>
        <w:spacing w:after="80" w:before="60" w:line="320"/>
      </w:pPr>
      <w:r>
        <w:rPr>
          <w:rFonts w:ascii="Arial" w:cs="Arial" w:eastAsia="Arial" w:hAnsi="Arial"/>
          <w:b w:val="false"/>
          <w:bCs w:val="false"/>
          <w:color w:val="000000"/>
          <w:sz w:val="22"/>
          <w:szCs w:val="22"/>
        </w:rPr>
        <w:t xml:space="preserve">[2] Lewis, P., et al. (2020). Retrieval-Augmented Generation for Knowledge-Intensive NLP Tasks. NeurIPS 2020.</w:t>
      </w:r>
    </w:p>
    <w:p>
      <w:pPr>
        <w:spacing w:after="80" w:before="60" w:line="320"/>
      </w:pPr>
      <w:r>
        <w:rPr>
          <w:rFonts w:ascii="Arial" w:cs="Arial" w:eastAsia="Arial" w:hAnsi="Arial"/>
          <w:b w:val="false"/>
          <w:bCs w:val="false"/>
          <w:color w:val="000000"/>
          <w:sz w:val="22"/>
          <w:szCs w:val="22"/>
        </w:rPr>
        <w:t xml:space="preserve">[3] Hu, E., et al. (2022). LoRA: Low-Rank Adaptation of Large Language Models. ICLR 2022.</w:t>
      </w:r>
    </w:p>
    <w:p>
      <w:pPr>
        <w:spacing w:after="80" w:before="60" w:line="320"/>
      </w:pPr>
      <w:r>
        <w:rPr>
          <w:rFonts w:ascii="Arial" w:cs="Arial" w:eastAsia="Arial" w:hAnsi="Arial"/>
          <w:b w:val="false"/>
          <w:bCs w:val="false"/>
          <w:color w:val="000000"/>
          <w:sz w:val="22"/>
          <w:szCs w:val="22"/>
        </w:rPr>
        <w:t xml:space="preserve">[4] Reimers, N., &amp; Gurevych, I. (2019). Sentence-BERT: Sentence Embeddings using Siamese BERT-Networks. EMNLP 2019.</w:t>
      </w:r>
    </w:p>
    <w:p>
      <w:pPr>
        <w:spacing w:after="80" w:before="60" w:line="320"/>
      </w:pPr>
      <w:r>
        <w:rPr>
          <w:rFonts w:ascii="Arial" w:cs="Arial" w:eastAsia="Arial" w:hAnsi="Arial"/>
          <w:b w:val="false"/>
          <w:bCs w:val="false"/>
          <w:color w:val="000000"/>
          <w:sz w:val="22"/>
          <w:szCs w:val="22"/>
        </w:rPr>
        <w:t xml:space="preserve">[5] UTRNet: An Urdu Text Recognition Benchmark. (2023). ICDAR 2023.</w:t>
      </w:r>
    </w:p>
    <w:p>
      <w:pPr>
        <w:spacing w:after="80" w:before="60" w:line="320"/>
      </w:pPr>
      <w:r>
        <w:rPr>
          <w:rFonts w:ascii="Arial" w:cs="Arial" w:eastAsia="Arial" w:hAnsi="Arial"/>
          <w:b w:val="false"/>
          <w:bCs w:val="false"/>
          <w:color w:val="000000"/>
          <w:sz w:val="22"/>
          <w:szCs w:val="22"/>
        </w:rPr>
        <w:t xml:space="preserve">[6] Meta AI Research. (2024). Llama 3.1: Open Foundation and Fine-Tuned Chat Models.</w:t>
      </w:r>
    </w:p>
    <w:p>
      <w:pPr>
        <w:spacing w:after="80" w:before="60" w:line="320"/>
      </w:pPr>
      <w:r>
        <w:rPr>
          <w:rFonts w:ascii="Arial" w:cs="Arial" w:eastAsia="Arial" w:hAnsi="Arial"/>
          <w:b w:val="false"/>
          <w:bCs w:val="false"/>
          <w:color w:val="000000"/>
          <w:sz w:val="22"/>
          <w:szCs w:val="22"/>
        </w:rPr>
        <w:t xml:space="preserve">[7] Nallapati, R., et al. (2016). Abstractive Text Summarization using Sequence-to-Sequence RNNs. CoNLL 2016.</w:t>
      </w:r>
    </w:p>
    <w:p>
      <w:pPr>
        <w:spacing w:after="80" w:before="60" w:line="320"/>
      </w:pPr>
      <w:r>
        <w:rPr>
          <w:rFonts w:ascii="Arial" w:cs="Arial" w:eastAsia="Arial" w:hAnsi="Arial"/>
          <w:b w:val="false"/>
          <w:bCs w:val="false"/>
          <w:color w:val="000000"/>
          <w:sz w:val="22"/>
          <w:szCs w:val="22"/>
        </w:rPr>
        <w:t xml:space="preserve">[8] Pakistan Code. Federal Laws of Pakistan. Retrieved from pakistancode.gov.pk.</w:t>
      </w:r>
    </w:p>
    <w:p>
      <w:pPr>
        <w:spacing w:after="80" w:before="60" w:line="320"/>
      </w:pPr>
      <w:r>
        <w:rPr>
          <w:rFonts w:ascii="Arial" w:cs="Arial" w:eastAsia="Arial" w:hAnsi="Arial"/>
          <w:b w:val="false"/>
          <w:bCs w:val="false"/>
          <w:color w:val="000000"/>
          <w:sz w:val="22"/>
          <w:szCs w:val="22"/>
        </w:rPr>
        <w:t xml:space="preserve">[9] Supreme Court of Pakistan. Judgments Database. Retrieved from supremecourt.gov.pk.</w:t>
      </w:r>
    </w:p>
    <w:p>
      <w:pPr>
        <w:spacing w:after="80" w:before="60" w:line="320"/>
      </w:pPr>
      <w:r>
        <w:rPr>
          <w:rFonts w:ascii="Arial" w:cs="Arial" w:eastAsia="Arial" w:hAnsi="Arial"/>
          <w:b w:val="false"/>
          <w:bCs w:val="false"/>
          <w:color w:val="000000"/>
          <w:sz w:val="22"/>
          <w:szCs w:val="22"/>
        </w:rPr>
        <w:t xml:space="preserve">[10] NLLB Team. (2022). No Language Left Behind: Scaling Human-Centered Machine Translation. arXiv:2207.04672.</w:t>
      </w:r>
    </w:p>
    <w:p>
      <w:pPr>
        <w:spacing w:after="80" w:before="60" w:line="320"/>
      </w:pPr>
      <w:r>
        <w:rPr>
          <w:rFonts w:ascii="Arial" w:cs="Arial" w:eastAsia="Arial" w:hAnsi="Arial"/>
          <w:b w:val="false"/>
          <w:bCs w:val="false"/>
          <w:color w:val="000000"/>
          <w:sz w:val="22"/>
          <w:szCs w:val="22"/>
        </w:rPr>
        <w:t xml:space="preserve">[11] Karpukhin, V., et al. (2020). Dense Passage Retrieval for Open-Domain Question Answering. EMNLP 2020.</w:t>
      </w:r>
    </w:p>
    <w:p>
      <w:pPr>
        <w:spacing w:after="80" w:before="60" w:line="320"/>
      </w:pPr>
      <w:r>
        <w:rPr>
          <w:rFonts w:ascii="Arial" w:cs="Arial" w:eastAsia="Arial" w:hAnsi="Arial"/>
          <w:b w:val="false"/>
          <w:bCs w:val="false"/>
          <w:color w:val="000000"/>
          <w:sz w:val="22"/>
          <w:szCs w:val="22"/>
        </w:rPr>
        <w:t xml:space="preserve">[12] Robertson, S., &amp; Zaragoza, H. (2009). The Probabilistic Relevance Framework: BM25 and Beyond. Foundations and Trends in IR.</w:t>
      </w:r>
    </w:p>
    <w:p>
      <w:pPr>
        <w:spacing w:after="40" w:before="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2026-04-12T17:09:07.467Z</dcterms:created>
  <dcterms:modified xsi:type="dcterms:W3CDTF">2026-04-12T17:09:07.468Z</dcterms:modified>
</cp:coreProperties>
</file>

<file path=docProps/custom.xml><?xml version="1.0" encoding="utf-8"?>
<Properties xmlns="http://schemas.openxmlformats.org/officeDocument/2006/custom-properties" xmlns:vt="http://schemas.openxmlformats.org/officeDocument/2006/docPropsVTypes"/>
</file>