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ZYNBOX</w:t>
      </w:r>
    </w:p>
    <w:p>
      <w:pPr>
        <w:pStyle w:val="Subtitle"/>
      </w:pPr>
      <w:r>
        <w:rPr/>
        <w:t xml:space="preserve">Product Use Cases &amp; Sales Strategy</w:t>
      </w:r>
    </w:p>
    <w:p>
      <w:pPr>
        <w:pStyle w:val="Subtitle"/>
      </w:pPr>
      <w:r>
        <w:rPr/>
        <w:t xml:space="preserve">Competitive assessment | 7 September 2026</w:t>
      </w:r>
    </w:p>
    <w:p>
      <w:pPr>
        <w:pStyle w:val="Normal"/>
      </w:pPr>
      <w:r>
        <w:rPr/>
        <w:t xml:space="preserve">A practical guide to positioning, customer workflows, demonstrations, and pilot measurement.</w:t>
      </w:r>
    </w:p>
    <w:p>
      <w:pPr>
        <w:pStyle w:val="Normal"/>
      </w:pPr>
      <w:r>
        <w:rPr/>
        <w:t xml:space="preserve">Prepared 7 September 2026. Product referred to as Zynbox; the repository also uses The Inbox Intern.</w:t>
      </w:r>
    </w:p>
    <w:p>
      <w:pPr>
        <w:pStyle w:val="Normal"/>
      </w:pPr>
      <w:r>
        <w:rPr/>
        <w:t xml:space="preserve">This is a repository-backed product assessment and competitive desk review, not a production acceptance test or evidence of customer ROI. Review covered the product routes, documentation, schema, provider adapters, rules engine, drafting/context pipeline, follow-up processing, filing, meeting briefs, messaging, scheduling, organization controls, integration boundaries, and deployment options. It did not inspect every source line or run the application. Deployment flags, connected accounts, subscriptions, and provider permissions determine actual availability.</w:t>
      </w:r>
    </w:p>
    <w:p>
      <w:pPr>
        <w:pStyle w:val="Heading1"/>
      </w:pPr>
      <w:r>
        <w:rPr/>
        <w:t xml:space="preserve">Recommendation</w:t>
      </w:r>
    </w:p>
    <w:p>
      <w:pPr>
        <w:pStyle w:val="Normal"/>
      </w:pPr>
      <w:r>
        <w:rPr/>
        <w:t xml:space="preserve">Sell a configured email workflow for client-facing service businesses: identify messages requiring action, prepare informed responses, surface unanswered conversations, organize incoming documents, and prepare for external meetings.</w:t>
      </w:r>
    </w:p>
    <w:p>
      <w:pPr>
        <w:pStyle w:val="Normal"/>
      </w:pPr>
      <w:r>
        <w:rPr/>
        <w:t xml:space="preserve">Start with small agencies and consultancies whose owner or account managers still coordinate work through individual email accounts. Their problem is measurable: delayed responses, forgotten proposals, missing approvals, and time spent finding documents. Initial customer sizing is a hypothesis to validate, not market research evidence.</w:t>
      </w:r>
    </w:p>
    <w:p>
      <w:pPr>
        <w:pStyle w:val="Normal"/>
      </w:pPr>
      <w:r>
        <w:rPr/>
        <w:t xml:space="preserve">Suggested positioning:</w:t>
      </w:r>
    </w:p>
    <w:p>
      <w:pPr>
        <w:pStyle w:val="Quote"/>
      </w:pPr>
      <w:r>
        <w:rPr/>
        <w:t xml:space="preserve">Zynbox keeps client conversations moving in Gmail and Outlook, with prepared replies, follow-up reminders, and automatically organized documents.</w:t>
      </w:r>
    </w:p>
    <w:p>
      <w:pPr>
        <w:pStyle w:val="Normal"/>
      </w:pPr>
      <w:r>
        <w:rPr/>
        <w:t xml:space="preserve">The opportunity is workflow completeness and supported implementation. General AI intelligence, chat, summaries, tone matching, and background execution are already competitive baseline capabilities. Easier setup and better reliability must be demonstrated against alternatives, not assumed.</w:t>
      </w:r>
    </w:p>
    <w:p>
      <w:pPr>
        <w:pStyle w:val="Heading1"/>
      </w:pPr>
      <w:r>
        <w:rPr/>
        <w:t xml:space="preserve">What competing products already offer</w:t>
      </w:r>
    </w:p>
    <w:tbl>
      <w:tblPr>
        <w:tblW w:w="9360" w:type="dxa"/>
        <w:tblLayout w:type="fixed"/>
        <w:tblBorders>
          <w:top w:val="single" w:sz="4" w:color="D5DFE7"/>
          <w:left w:val="single" w:sz="4" w:color="D5DFE7"/>
          <w:bottom w:val="single" w:sz="4" w:color="D5DFE7"/>
          <w:right w:val="single" w:sz="4" w:color="D5DFE7"/>
          <w:insideH w:val="single" w:sz="4" w:color="D5DFE7"/>
          <w:insideV w:val="single" w:sz="4" w:color="D5DFE7"/>
        </w:tblBorders>
        <w:tblCellMar>
          <w:top w:w="110" w:type="dxa"/>
          <w:left w:w="110" w:type="dxa"/>
          <w:bottom w:w="110" w:type="dxa"/>
          <w:right w:w="110" w:type="dxa"/>
        </w:tblCellMar>
      </w:tblPr>
      <w:tblGrid>
        <w:gridCol w:w="3120"/>
        <w:gridCol w:w="3120"/>
        <w:gridCol w:w="3120"/>
      </w:tblGrid>
      <w:tr>
        <w:trPr>
          <w:tblHeader/>
        </w:trPr>
        <w:tc>
          <w:tcPr>
            <w:tcW w:w="3120" w:type="dxa"/>
            <w:shd w:fill="17354A"/>
          </w:tcPr>
          <w:p>
            <w:pPr>
              <w:pStyle w:val="TableText"/>
            </w:pPr>
            <w:r>
              <w:rPr>
                <w:color w:val="FFFFFF"/>
              </w:rPr>
              <w:t xml:space="preserve">Alternative</w:t>
            </w:r>
          </w:p>
        </w:tc>
        <w:tc>
          <w:tcPr>
            <w:tcW w:w="3120" w:type="dxa"/>
            <w:shd w:fill="17354A"/>
          </w:tcPr>
          <w:p>
            <w:pPr>
              <w:pStyle w:val="TableText"/>
            </w:pPr>
            <w:r>
              <w:rPr>
                <w:color w:val="FFFFFF"/>
              </w:rPr>
              <w:t xml:space="preserve">Documented capabilities</w:t>
            </w:r>
          </w:p>
        </w:tc>
        <w:tc>
          <w:tcPr>
            <w:tcW w:w="3120" w:type="dxa"/>
            <w:shd w:fill="17354A"/>
          </w:tcPr>
          <w:p>
            <w:pPr>
              <w:pStyle w:val="TableText"/>
            </w:pPr>
            <w:r>
              <w:rPr>
                <w:color w:val="FFFFFF"/>
              </w:rPr>
              <w:t xml:space="preserve">Sales implication</w:t>
            </w:r>
          </w:p>
        </w:tc>
      </w:tr>
      <w:tr>
        <w:trPr/>
        <w:tc>
          <w:tcPr>
            <w:tcW w:w="3120" w:type="dxa"/>
            <w:shd w:fill="F1F5F8"/>
          </w:tcPr>
          <w:p>
            <w:pPr>
              <w:pStyle w:val="TableText"/>
            </w:pPr>
            <w:r>
              <w:rPr/>
              <w:t xml:space="preserve">Outlook Copilot</w:t>
            </w:r>
          </w:p>
        </w:tc>
        <w:tc>
          <w:tcPr>
            <w:tcW w:w="3120" w:type="dxa"/>
            <w:shd w:fill="F1F5F8"/>
          </w:tcPr>
          <w:p>
            <w:pPr>
              <w:pStyle w:val="TableText"/>
            </w:pPr>
            <w:r>
              <w:rPr/>
              <w:t xml:space="preserve">Inbox prioritization and natural-language creation, viewing, updating, and deletion of Outlook rules</w:t>
            </w:r>
          </w:p>
        </w:tc>
        <w:tc>
          <w:tcPr>
            <w:tcW w:w="3120" w:type="dxa"/>
            <w:shd w:fill="F1F5F8"/>
          </w:tcPr>
          <w:p>
            <w:pPr>
              <w:pStyle w:val="TableText"/>
            </w:pPr>
            <w:r>
              <w:rPr/>
              <w:t xml:space="preserve">Do not claim natural-language rules or prioritization are exclusive. </w:t>
            </w:r>
            <w:hyperlink r:id="rIdLink1">
              <w:r>
                <w:rPr>
                  <w:color w:val="176B87"/>
                </w:rPr>
                <w:t xml:space="preserve">Rules documentation</w:t>
              </w:r>
            </w:hyperlink>
            <w:r>
              <w:rPr/>
              <w:t xml:space="preserve">, </w:t>
            </w:r>
            <w:hyperlink r:id="rIdLink2">
              <w:r>
                <w:rPr>
                  <w:color w:val="176B87"/>
                </w:rPr>
                <w:t xml:space="preserve">prioritization</w:t>
              </w:r>
            </w:hyperlink>
            <w:r>
              <w:rPr/>
              <w:t xml:space="preserve">.</w:t>
            </w:r>
          </w:p>
        </w:tc>
      </w:tr>
      <w:tr>
        <w:trPr/>
        <w:tc>
          <w:tcPr>
            <w:tcW w:w="3120" w:type="dxa"/>
            <w:shd w:fill="FFFFFF"/>
          </w:tcPr>
          <w:p>
            <w:pPr>
              <w:pStyle w:val="TableText"/>
            </w:pPr>
            <w:r>
              <w:rPr/>
              <w:t xml:space="preserve">Microsoft Copilot Cowork</w:t>
            </w:r>
          </w:p>
        </w:tc>
        <w:tc>
          <w:tcPr>
            <w:tcW w:w="3120" w:type="dxa"/>
            <w:shd w:fill="FFFFFF"/>
          </w:tcPr>
          <w:p>
            <w:pPr>
              <w:pStyle w:val="TableText"/>
            </w:pPr>
            <w:r>
              <w:rPr/>
              <w:t xml:space="preserve">Recurring prompts and event-driven tasks triggered by matching email or Teams messages; draft-and-approve behavior for consequential event-driven actions</w:t>
            </w:r>
          </w:p>
        </w:tc>
        <w:tc>
          <w:tcPr>
            <w:tcW w:w="3120" w:type="dxa"/>
            <w:shd w:fill="FFFFFF"/>
          </w:tcPr>
          <w:p>
            <w:pPr>
              <w:pStyle w:val="TableText"/>
            </w:pPr>
            <w:r>
              <w:rPr/>
              <w:t xml:space="preserve">This is a direct workflow competitor. Do not contrast a passive Copilot with an active Zynbox. </w:t>
            </w:r>
            <w:hyperlink r:id="rIdLink3">
              <w:r>
                <w:rPr>
                  <w:color w:val="176B87"/>
                </w:rPr>
                <w:t xml:space="preserve">Microsoft documentation</w:t>
              </w:r>
            </w:hyperlink>
            <w:r>
              <w:rPr/>
              <w:t xml:space="preserve">.</w:t>
            </w:r>
          </w:p>
        </w:tc>
      </w:tr>
      <w:tr>
        <w:trPr/>
        <w:tc>
          <w:tcPr>
            <w:tcW w:w="3120" w:type="dxa"/>
            <w:shd w:fill="F1F5F8"/>
          </w:tcPr>
          <w:p>
            <w:pPr>
              <w:pStyle w:val="TableText"/>
            </w:pPr>
            <w:r>
              <w:rPr/>
              <w:t xml:space="preserve">Gmail with Gemini</w:t>
            </w:r>
          </w:p>
        </w:tc>
        <w:tc>
          <w:tcPr>
            <w:tcW w:w="3120" w:type="dxa"/>
            <w:shd w:fill="F1F5F8"/>
          </w:tcPr>
          <w:p>
            <w:pPr>
              <w:pStyle w:val="TableText"/>
            </w:pPr>
            <w:r>
              <w:rPr/>
              <w:t xml:space="preserve">Thread summaries, inbox questions, writing assistance, personalized suggested replies; Google also announced an AI Inbox for priorities and to-dos</w:t>
            </w:r>
          </w:p>
        </w:tc>
        <w:tc>
          <w:tcPr>
            <w:tcW w:w="3120" w:type="dxa"/>
            <w:shd w:fill="F1F5F8"/>
          </w:tcPr>
          <w:p>
            <w:pPr>
              <w:pStyle w:val="TableText"/>
            </w:pPr>
            <w:r>
              <w:rPr/>
              <w:t xml:space="preserve">Summarization and tone matching are weak primary sales angles. The AI Inbox announcement describes a staged rollout; verify availability in the prospect's account. </w:t>
            </w:r>
            <w:hyperlink r:id="rIdLink4">
              <w:r>
                <w:rPr>
                  <w:color w:val="176B87"/>
                </w:rPr>
                <w:t xml:space="preserve">Google announcement</w:t>
              </w:r>
            </w:hyperlink>
            <w:r>
              <w:rPr/>
              <w:t xml:space="preserve">.</w:t>
            </w:r>
          </w:p>
        </w:tc>
      </w:tr>
      <w:tr>
        <w:trPr/>
        <w:tc>
          <w:tcPr>
            <w:tcW w:w="3120" w:type="dxa"/>
            <w:shd w:fill="FFFFFF"/>
          </w:tcPr>
          <w:p>
            <w:pPr>
              <w:pStyle w:val="TableText"/>
            </w:pPr>
            <w:r>
              <w:rPr/>
              <w:t xml:space="preserve">Google Workspace Studio</w:t>
            </w:r>
          </w:p>
        </w:tc>
        <w:tc>
          <w:tcPr>
            <w:tcW w:w="3120" w:type="dxa"/>
            <w:shd w:fill="FFFFFF"/>
          </w:tcPr>
          <w:p>
            <w:pPr>
              <w:pStyle w:val="TableText"/>
            </w:pPr>
            <w:r>
              <w:rPr/>
              <w:t xml:space="preserve">Event/schedule-triggered flows, AI processing, draft replies, and email attachment saving to Drive; Gemini can generate flows from descriptions</w:t>
            </w:r>
          </w:p>
        </w:tc>
        <w:tc>
          <w:tcPr>
            <w:tcW w:w="3120" w:type="dxa"/>
            <w:shd w:fill="FFFFFF"/>
          </w:tcPr>
          <w:p>
            <w:pPr>
              <w:pStyle w:val="TableText"/>
            </w:pPr>
            <w:r>
              <w:rPr/>
              <w:t xml:space="preserve">Compare the complete workflow with Studio, not just Gmail's chat panel. Filing and background automation alone are not exclusive. </w:t>
            </w:r>
            <w:hyperlink r:id="rIdLink5">
              <w:r>
                <w:rPr>
                  <w:color w:val="176B87"/>
                </w:rPr>
                <w:t xml:space="preserve">Getting started</w:t>
              </w:r>
            </w:hyperlink>
            <w:r>
              <w:rPr/>
              <w:t xml:space="preserve">, </w:t>
            </w:r>
            <w:hyperlink r:id="rIdLink6">
              <w:r>
                <w:rPr>
                  <w:color w:val="176B87"/>
                </w:rPr>
                <w:t xml:space="preserve">create flows with Gemini</w:t>
              </w:r>
            </w:hyperlink>
            <w:r>
              <w:rPr/>
              <w:t xml:space="preserve">.</w:t>
            </w:r>
          </w:p>
        </w:tc>
      </w:tr>
      <w:tr>
        <w:trPr/>
        <w:tc>
          <w:tcPr>
            <w:tcW w:w="3120" w:type="dxa"/>
            <w:shd w:fill="F1F5F8"/>
          </w:tcPr>
          <w:p>
            <w:pPr>
              <w:pStyle w:val="TableText"/>
            </w:pPr>
            <w:r>
              <w:rPr/>
              <w:t xml:space="preserve">Anthropic Claude Cowork</w:t>
            </w:r>
          </w:p>
        </w:tc>
        <w:tc>
          <w:tcPr>
            <w:tcW w:w="3120" w:type="dxa"/>
            <w:shd w:fill="F1F5F8"/>
          </w:tcPr>
          <w:p>
            <w:pPr>
              <w:pStyle w:val="TableText"/>
            </w:pPr>
            <w:r>
              <w:rPr/>
              <w:t xml:space="preserve">Recurring work with connectors and plugins; remote scheduled tasks continue with the computer off</w:t>
            </w:r>
          </w:p>
        </w:tc>
        <w:tc>
          <w:tcPr>
            <w:tcW w:w="3120" w:type="dxa"/>
            <w:shd w:fill="F1F5F8"/>
          </w:tcPr>
          <w:p>
            <w:pPr>
              <w:pStyle w:val="TableText"/>
            </w:pPr>
            <w:r>
              <w:rPr/>
              <w:t xml:space="preserve">Claude Cowork is distinct from Microsoft Copilot Cowork. Do not claim it always requires an awake laptop. </w:t>
            </w:r>
            <w:hyperlink r:id="rIdLink7">
              <w:r>
                <w:rPr>
                  <w:color w:val="176B87"/>
                </w:rPr>
                <w:t xml:space="preserve">Scheduled tasks</w:t>
              </w:r>
            </w:hyperlink>
            <w:r>
              <w:rPr/>
              <w:t xml:space="preserve">.</w:t>
            </w:r>
          </w:p>
        </w:tc>
      </w:tr>
    </w:tbl>
    <w:p>
      <w:pPr>
        <w:pStyle w:val="Normal"/>
      </w:pPr>
      <w:r>
        <w:rPr/>
        <w:t xml:space="preserve"/>
      </w:r>
    </w:p>
    <w:p>
      <w:pPr>
        <w:pStyle w:val="Normal"/>
      </w:pPr>
      <w:r>
        <w:rPr/>
        <w:t xml:space="preserve">These are documented capabilities, not comparative quality tests. Availability varies by account, plan, rollout, and administrator settings.</w:t>
      </w:r>
    </w:p>
    <w:p>
      <w:pPr>
        <w:pStyle w:val="Heading1"/>
      </w:pPr>
      <w:r>
        <w:rPr/>
        <w:t xml:space="preserve">Concrete use cases to sell</w:t>
      </w:r>
    </w:p>
    <w:p>
      <w:pPr>
        <w:pStyle w:val="Heading2"/>
      </w:pPr>
      <w:r>
        <w:rPr/>
        <w:t xml:space="preserve">1. Keep proposals and client approvals from being forgotten</w:t>
      </w:r>
    </w:p>
    <w:p>
      <w:pPr>
        <w:pStyle w:val="Normal"/>
      </w:pPr>
      <w:r>
        <w:rPr/>
        <w:t xml:space="preserve"/>
      </w:r>
      <w:r>
        <w:rPr>
          <w:b/>
        </w:rPr>
        <w:t xml:space="preserve">Buyer:</w:t>
      </w:r>
      <w:r>
        <w:rPr/>
        <w:t xml:space="preserve"> Agency owner, consultant, account manager.</w:t>
      </w:r>
    </w:p>
    <w:p>
      <w:pPr>
        <w:pStyle w:val="Normal"/>
      </w:pPr>
      <w:r>
        <w:rPr/>
        <w:t xml:space="preserve"/>
      </w:r>
      <w:r>
        <w:rPr>
          <w:b/>
        </w:rPr>
        <w:t xml:space="preserve">Scenario:</w:t>
      </w:r>
      <w:r>
        <w:rPr/>
        <w:t xml:space="preserve"> You send a proposal on Monday. The prospect has not replied after three business days. Elsewhere, a current client has asked a question that nobody has answered.</w:t>
      </w:r>
    </w:p>
    <w:p>
      <w:pPr>
        <w:pStyle w:val="Normal"/>
      </w:pPr>
      <w:r>
        <w:rPr/>
        <w:t xml:space="preserve"/>
      </w:r>
      <w:r>
        <w:rPr>
          <w:b/>
        </w:rPr>
        <w:t xml:space="preserve">Workflow:</w:t>
      </w:r>
      <w:r>
        <w:rPr/>
        <w:t xml:space="preserve"> Conversation tracking distinguishes messages needing your reply from conversations awaiting someone else's reply. Configure the supported reminder thresholds; eligible overdue threads receive follow-up treatment, optional drafts, and connected-channel notifications. Review the draft before sending. Mark resolved conversations done.</w:t>
      </w:r>
    </w:p>
    <w:p>
      <w:pPr>
        <w:pStyle w:val="Normal"/>
      </w:pPr>
      <w:r>
        <w:rPr/>
        <w:t xml:space="preserve"/>
      </w:r>
      <w:r>
        <w:rPr>
          <w:b/>
        </w:rPr>
        <w:t xml:space="preserve">Sales line:</w:t>
      </w:r>
      <w:r>
        <w:rPr/>
        <w:t xml:space="preserve"> “Keep track of both the clients waiting for you and the clients you are waiting for.”</w:t>
      </w:r>
    </w:p>
    <w:p>
      <w:pPr>
        <w:pStyle w:val="Normal"/>
      </w:pPr>
      <w:r>
        <w:rPr/>
        <w:t xml:space="preserve"/>
      </w:r>
      <w:r>
        <w:rPr>
          <w:b/>
        </w:rPr>
        <w:t xml:space="preserve">Measure:</w:t>
      </w:r>
      <w:r>
        <w:rPr/>
        <w:t xml:space="preserve"> Overdue conversations, time to first response, reminders acted on, and replies received after follow-up. Revenue recovered requires actual attribution.</w:t>
      </w:r>
    </w:p>
    <w:p>
      <w:pPr>
        <w:pStyle w:val="Normal"/>
      </w:pPr>
      <w:r>
        <w:rPr/>
        <w:t xml:space="preserve"/>
      </w:r>
      <w:r>
        <w:rPr>
          <w:b/>
        </w:rPr>
        <w:t xml:space="preserve">Readiness:</w:t>
      </w:r>
      <w:r>
        <w:rPr/>
        <w:t xml:space="preserve"> Existing code plus configuration. Do not promise a custom per-deal sequence engine or CRM pipeline. Reminder thresholds are account settings. The dedicated Reply Zero view is documented as Gmail-only; Outlook users have provider-side conversation organization.</w:t>
      </w:r>
    </w:p>
    <w:p>
      <w:pPr>
        <w:pStyle w:val="Normal"/>
      </w:pPr>
      <w:r>
        <w:rPr/>
        <w:t xml:space="preserve"/>
      </w:r>
      <w:r>
        <w:rPr>
          <w:b/>
        </w:rPr>
        <w:t xml:space="preserve">Why buy despite Copilot/Gemini?</w:t>
      </w:r>
      <w:r>
        <w:rPr/>
        <w:t xml:space="preserve"> A persistent, purpose-built reply workflow that the customer can inspect and operate. Prove that it takes less effort to maintain than their existing setup.</w:t>
      </w:r>
    </w:p>
    <w:p>
      <w:pPr>
        <w:pStyle w:val="Heading2"/>
      </w:pPr>
      <w:r>
        <w:rPr/>
        <w:t xml:space="preserve">2. Prepare informed replies to inbound service inquiries</w:t>
      </w:r>
    </w:p>
    <w:p>
      <w:pPr>
        <w:pStyle w:val="Normal"/>
      </w:pPr>
      <w:r>
        <w:rPr/>
        <w:t xml:space="preserve"/>
      </w:r>
      <w:r>
        <w:rPr>
          <w:b/>
        </w:rPr>
        <w:t xml:space="preserve">Buyer:</w:t>
      </w:r>
      <w:r>
        <w:rPr/>
        <w:t xml:space="preserve"> Small consultancy, agency, training company, professional service provider.</w:t>
      </w:r>
    </w:p>
    <w:p>
      <w:pPr>
        <w:pStyle w:val="Normal"/>
      </w:pPr>
      <w:r>
        <w:rPr/>
        <w:t xml:space="preserve"/>
      </w:r>
      <w:r>
        <w:rPr>
          <w:b/>
        </w:rPr>
        <w:t xml:space="preserve">Scenario:</w:t>
      </w:r>
      <w:r>
        <w:rPr/>
        <w:t xml:space="preserve"> A prospect asks about services, onboarding, timing, and pricing information already held in the business's knowledge base.</w:t>
      </w:r>
    </w:p>
    <w:p>
      <w:pPr>
        <w:pStyle w:val="Normal"/>
      </w:pPr>
      <w:r>
        <w:rPr/>
        <w:t xml:space="preserve"/>
      </w:r>
      <w:r>
        <w:rPr>
          <w:b/>
        </w:rPr>
        <w:t xml:space="preserve">Workflow:</w:t>
      </w:r>
      <w:r>
        <w:rPr/>
        <w:t xml:space="preserve"> An incoming-email rule prepares a draft using the current thread and configured knowledge. The drafting pipeline also supports historical email context, explicit writing style, learned corrections, incoming attachment context, and supplied calendar availability. Choose a stricter drafting confidence setting where useful. The owner checks and sends the reply.</w:t>
      </w:r>
    </w:p>
    <w:p>
      <w:pPr>
        <w:pStyle w:val="Normal"/>
      </w:pPr>
      <w:r>
        <w:rPr/>
        <w:t xml:space="preserve"/>
      </w:r>
      <w:r>
        <w:rPr>
          <w:b/>
        </w:rPr>
        <w:t xml:space="preserve">Sales line:</w:t>
      </w:r>
      <w:r>
        <w:rPr/>
        <w:t xml:space="preserve"> “Open the inquiry and start from a prepared answer grounded in your business information.”</w:t>
      </w:r>
    </w:p>
    <w:p>
      <w:pPr>
        <w:pStyle w:val="Normal"/>
      </w:pPr>
      <w:r>
        <w:rPr/>
        <w:t xml:space="preserve"/>
      </w:r>
      <w:r>
        <w:rPr>
          <w:b/>
        </w:rPr>
        <w:t xml:space="preserve">Measure:</w:t>
      </w:r>
      <w:r>
        <w:rPr/>
        <w:t xml:space="preserve"> Editing time per reply, drafts accepted with minor edits, response time, and incorrect factual claims in a reviewed sample.</w:t>
      </w:r>
    </w:p>
    <w:p>
      <w:pPr>
        <w:pStyle w:val="Normal"/>
      </w:pPr>
      <w:r>
        <w:rPr/>
        <w:t xml:space="preserve"/>
      </w:r>
      <w:r>
        <w:rPr>
          <w:b/>
        </w:rPr>
        <w:t xml:space="preserve">Readiness:</w:t>
      </w:r>
      <w:r>
        <w:rPr/>
        <w:t xml:space="preserve"> Existing code plus knowledge/setup. Supply current facts; the product does not inherently know live inventory, approved discounts, project capacity, or payment status. Confidence is a model assessment, not a factual guarantee.</w:t>
      </w:r>
    </w:p>
    <w:p>
      <w:pPr>
        <w:pStyle w:val="Normal"/>
      </w:pPr>
      <w:r>
        <w:rPr/>
        <w:t xml:space="preserve"/>
      </w:r>
      <w:r>
        <w:rPr>
          <w:b/>
        </w:rPr>
        <w:t xml:space="preserve">Why buy?</w:t>
      </w:r>
      <w:r>
        <w:rPr/>
        <w:t xml:space="preserve"> Drafting is integrated with arrival-time rules and subsequent reply tracking. Writing in the user's voice alone is not a differentiator.</w:t>
      </w:r>
    </w:p>
    <w:p>
      <w:pPr>
        <w:pStyle w:val="Heading2"/>
      </w:pPr>
      <w:r>
        <w:rPr/>
        <w:t xml:space="preserve">3. Organize client and supplier documents as they arrive</w:t>
      </w:r>
    </w:p>
    <w:p>
      <w:pPr>
        <w:pStyle w:val="Normal"/>
      </w:pPr>
      <w:r>
        <w:rPr/>
        <w:t xml:space="preserve"/>
      </w:r>
      <w:r>
        <w:rPr>
          <w:b/>
        </w:rPr>
        <w:t xml:space="preserve">Buyer:</w:t>
      </w:r>
      <w:r>
        <w:rPr/>
        <w:t xml:space="preserve"> Bookkeeper, agency operations manager, consultant, property administrator.</w:t>
      </w:r>
    </w:p>
    <w:p>
      <w:pPr>
        <w:pStyle w:val="Normal"/>
      </w:pPr>
      <w:r>
        <w:rPr/>
        <w:t xml:space="preserve"/>
      </w:r>
      <w:r>
        <w:rPr>
          <w:b/>
        </w:rPr>
        <w:t xml:space="preserve">Scenario:</w:t>
      </w:r>
      <w:r>
        <w:rPr/>
        <w:t xml:space="preserve"> Invoices, signed agreements, and receipts arrive with inconsistent filenames and mixed email subjects.</w:t>
      </w:r>
    </w:p>
    <w:p>
      <w:pPr>
        <w:pStyle w:val="Normal"/>
      </w:pPr>
      <w:r>
        <w:rPr/>
        <w:t xml:space="preserve"/>
      </w:r>
      <w:r>
        <w:rPr>
          <w:b/>
        </w:rPr>
        <w:t xml:space="preserve">Workflow:</w:t>
      </w:r>
      <w:r>
        <w:rPr/>
        <w:t xml:space="preserve"> Connect Drive or OneDrive, describe the target folders, and enable filing. The pipeline uses supported extracted document text plus filename/email context to choose a destination. Low-confidence destination choices ask before upload; supported notification replies allow correction or undo.</w:t>
      </w:r>
    </w:p>
    <w:p>
      <w:pPr>
        <w:pStyle w:val="Normal"/>
      </w:pPr>
      <w:r>
        <w:rPr/>
        <w:t xml:space="preserve"/>
      </w:r>
      <w:r>
        <w:rPr>
          <w:b/>
        </w:rPr>
        <w:t xml:space="preserve">Sales line:</w:t>
      </w:r>
      <w:r>
        <w:rPr/>
        <w:t xml:space="preserve"> “Incoming documents land in the folders your business uses, with a correction workflow when the destination is unclear.”</w:t>
      </w:r>
    </w:p>
    <w:p>
      <w:pPr>
        <w:pStyle w:val="Normal"/>
      </w:pPr>
      <w:r>
        <w:rPr/>
        <w:t xml:space="preserve"/>
      </w:r>
      <w:r>
        <w:rPr>
          <w:b/>
        </w:rPr>
        <w:t xml:space="preserve">Measure:</w:t>
      </w:r>
      <w:r>
        <w:rPr/>
        <w:t xml:space="preserve"> Filing time per document, correct-folder rate, manual corrections, and documents missing from the expected folder.</w:t>
      </w:r>
    </w:p>
    <w:p>
      <w:pPr>
        <w:pStyle w:val="Normal"/>
      </w:pPr>
      <w:r>
        <w:rPr/>
        <w:t xml:space="preserve"/>
      </w:r>
      <w:r>
        <w:rPr>
          <w:b/>
        </w:rPr>
        <w:t xml:space="preserve">Readiness:</w:t>
      </w:r>
      <w:r>
        <w:rPr/>
        <w:t xml:space="preserve"> Existing code plus folder configuration. Text extraction is format-dependent; do not promise reliable reading of every scan or image. This is document organization, not invoice reconciliation, ledger posting, or payment execution.</w:t>
      </w:r>
    </w:p>
    <w:p>
      <w:pPr>
        <w:pStyle w:val="Normal"/>
      </w:pPr>
      <w:r>
        <w:rPr/>
        <w:t xml:space="preserve"/>
      </w:r>
      <w:r>
        <w:rPr>
          <w:b/>
        </w:rPr>
        <w:t xml:space="preserve">Why buy?</w:t>
      </w:r>
      <w:r>
        <w:rPr/>
        <w:t xml:space="preserve"> The packaged destination-selection and correction workflow across supported mail/storage providers. Google Studio already supports saving attachments, so demonstrate the harder routing cases.</w:t>
      </w:r>
    </w:p>
    <w:p>
      <w:pPr>
        <w:pStyle w:val="Heading2"/>
      </w:pPr>
      <w:r>
        <w:rPr/>
        <w:t xml:space="preserve">4. Bring important customer emails into Slack</w:t>
      </w:r>
    </w:p>
    <w:p>
      <w:pPr>
        <w:pStyle w:val="Normal"/>
      </w:pPr>
      <w:r>
        <w:rPr/>
        <w:t xml:space="preserve"/>
      </w:r>
      <w:r>
        <w:rPr>
          <w:b/>
        </w:rPr>
        <w:t xml:space="preserve">Buyer:</w:t>
      </w:r>
      <w:r>
        <w:rPr/>
        <w:t xml:space="preserve"> Slack-centric agency or small software/services company.</w:t>
      </w:r>
    </w:p>
    <w:p>
      <w:pPr>
        <w:pStyle w:val="Normal"/>
      </w:pPr>
      <w:r>
        <w:rPr/>
        <w:t xml:space="preserve"/>
      </w:r>
      <w:r>
        <w:rPr>
          <w:b/>
        </w:rPr>
        <w:t xml:space="preserve">Scenario:</w:t>
      </w:r>
      <w:r>
        <w:rPr/>
        <w:t xml:space="preserve"> A customer emails a delivery blocker while the team is coordinating work in Slack.</w:t>
      </w:r>
    </w:p>
    <w:p>
      <w:pPr>
        <w:pStyle w:val="Normal"/>
      </w:pPr>
      <w:r>
        <w:rPr/>
        <w:t xml:space="preserve"/>
      </w:r>
      <w:r>
        <w:rPr>
          <w:b/>
        </w:rPr>
        <w:t xml:space="preserve">Workflow:</w:t>
      </w:r>
      <w:r>
        <w:rPr/>
        <w:t xml:space="preserve"> Configure an account-level rule to identify the relevant request and notify the connected messaging destination. The user can inspect the email and work with the assistant in chat to prepare a response, with confirmation where required.</w:t>
      </w:r>
    </w:p>
    <w:p>
      <w:pPr>
        <w:pStyle w:val="Normal"/>
      </w:pPr>
      <w:r>
        <w:rPr/>
        <w:t xml:space="preserve"/>
      </w:r>
      <w:r>
        <w:rPr>
          <w:b/>
        </w:rPr>
        <w:t xml:space="preserve">Sales line:</w:t>
      </w:r>
      <w:r>
        <w:rPr/>
        <w:t xml:space="preserve"> “Bring the customer message into the place where your team will act on it.”</w:t>
      </w:r>
    </w:p>
    <w:p>
      <w:pPr>
        <w:pStyle w:val="Normal"/>
      </w:pPr>
      <w:r>
        <w:rPr/>
        <w:t xml:space="preserve"/>
      </w:r>
      <w:r>
        <w:rPr>
          <w:b/>
        </w:rPr>
        <w:t xml:space="preserve">Measure:</w:t>
      </w:r>
      <w:r>
        <w:rPr/>
        <w:t xml:space="preserve"> Time from receipt to acknowledgement, useful-alert rate, and ignored/false-positive alerts.</w:t>
      </w:r>
    </w:p>
    <w:p>
      <w:pPr>
        <w:pStyle w:val="Normal"/>
      </w:pPr>
      <w:r>
        <w:rPr/>
        <w:t xml:space="preserve"/>
      </w:r>
      <w:r>
        <w:rPr>
          <w:b/>
        </w:rPr>
        <w:t xml:space="preserve">Readiness:</w:t>
      </w:r>
      <w:r>
        <w:rPr/>
        <w:t xml:space="preserve"> Existing account-level rule and Slack capabilities plus setup. Organization-wide rules explicitly exclude messaging actions because destinations are member-specific. Notification does not constitute ticket ownership, assignment, escalation, or an SLA guarantee.</w:t>
      </w:r>
    </w:p>
    <w:p>
      <w:pPr>
        <w:pStyle w:val="Normal"/>
      </w:pPr>
      <w:r>
        <w:rPr/>
        <w:t xml:space="preserve"/>
      </w:r>
      <w:r>
        <w:rPr>
          <w:b/>
        </w:rPr>
        <w:t xml:space="preserve">Why buy?</w:t>
      </w:r>
      <w:r>
        <w:rPr/>
        <w:t xml:space="preserve"> A concrete fit for a team using Gmail or Outlook together with Slack. Microsoft already supports analogous Teams automation.</w:t>
      </w:r>
    </w:p>
    <w:p>
      <w:pPr>
        <w:pStyle w:val="Heading2"/>
      </w:pPr>
      <w:r>
        <w:rPr/>
        <w:t xml:space="preserve">5. Prepare for external client meetings automatically</w:t>
      </w:r>
    </w:p>
    <w:p>
      <w:pPr>
        <w:pStyle w:val="Normal"/>
      </w:pPr>
      <w:r>
        <w:rPr/>
        <w:t xml:space="preserve"/>
      </w:r>
      <w:r>
        <w:rPr>
          <w:b/>
        </w:rPr>
        <w:t xml:space="preserve">Buyer:</w:t>
      </w:r>
      <w:r>
        <w:rPr/>
        <w:t xml:space="preserve"> Consultant, founder, recruiter, account manager.</w:t>
      </w:r>
    </w:p>
    <w:p>
      <w:pPr>
        <w:pStyle w:val="Normal"/>
      </w:pPr>
      <w:r>
        <w:rPr/>
        <w:t xml:space="preserve"/>
      </w:r>
      <w:r>
        <w:rPr>
          <w:b/>
        </w:rPr>
        <w:t xml:space="preserve">Scenario:</w:t>
      </w:r>
      <w:r>
        <w:rPr/>
        <w:t xml:space="preserve"> A meeting starts soon and relevant context is scattered across recent email threads and prior calendar events.</w:t>
      </w:r>
    </w:p>
    <w:p>
      <w:pPr>
        <w:pStyle w:val="Normal"/>
      </w:pPr>
      <w:r>
        <w:rPr/>
        <w:t xml:space="preserve"/>
      </w:r>
      <w:r>
        <w:rPr>
          <w:b/>
        </w:rPr>
        <w:t xml:space="preserve">Workflow:</w:t>
      </w:r>
      <w:r>
        <w:rPr/>
        <w:t xml:space="preserve"> Connect the calendar, enable meeting briefs, choose lead time and delivery destination. Briefing processing gathers bounded recent attendee-related context and produces a briefing before eligible external meetings.</w:t>
      </w:r>
    </w:p>
    <w:p>
      <w:pPr>
        <w:pStyle w:val="Normal"/>
      </w:pPr>
      <w:r>
        <w:rPr/>
        <w:t xml:space="preserve"/>
      </w:r>
      <w:r>
        <w:rPr>
          <w:b/>
        </w:rPr>
        <w:t xml:space="preserve">Sales line:</w:t>
      </w:r>
      <w:r>
        <w:rPr/>
        <w:t xml:space="preserve"> “Receive the recent conversation context before your client call.”</w:t>
      </w:r>
    </w:p>
    <w:p>
      <w:pPr>
        <w:pStyle w:val="Normal"/>
      </w:pPr>
      <w:r>
        <w:rPr/>
        <w:t xml:space="preserve"/>
      </w:r>
      <w:r>
        <w:rPr>
          <w:b/>
        </w:rPr>
        <w:t xml:space="preserve">Measure:</w:t>
      </w:r>
      <w:r>
        <w:rPr/>
        <w:t xml:space="preserve"> Preparation minutes per meeting and user ratings of relevance and missing context.</w:t>
      </w:r>
    </w:p>
    <w:p>
      <w:pPr>
        <w:pStyle w:val="Normal"/>
      </w:pPr>
      <w:r>
        <w:rPr/>
        <w:t xml:space="preserve"/>
      </w:r>
      <w:r>
        <w:rPr>
          <w:b/>
        </w:rPr>
        <w:t xml:space="preserve">Readiness:</w:t>
      </w:r>
      <w:r>
        <w:rPr/>
        <w:t xml:space="preserve"> Existing code plus connections and subscription. Internal-only meetings are skipped. Retrieved history is bounded, not a complete account dossier.</w:t>
      </w:r>
    </w:p>
    <w:p>
      <w:pPr>
        <w:pStyle w:val="Normal"/>
      </w:pPr>
      <w:r>
        <w:rPr/>
        <w:t xml:space="preserve"/>
      </w:r>
      <w:r>
        <w:rPr>
          <w:b/>
        </w:rPr>
        <w:t xml:space="preserve">Why buy?</w:t>
      </w:r>
      <w:r>
        <w:rPr/>
        <w:t xml:space="preserve"> A convenient addition to the client communication workflow. Meeting preparation is a crowded capability and should not be the main competitive claim.</w:t>
      </w:r>
    </w:p>
    <w:p>
      <w:pPr>
        <w:pStyle w:val="Heading2"/>
      </w:pPr>
      <w:r>
        <w:rPr/>
        <w:t xml:space="preserve">6. Coordinate candidate communication without an ATS migration</w:t>
      </w:r>
    </w:p>
    <w:p>
      <w:pPr>
        <w:pStyle w:val="Normal"/>
      </w:pPr>
      <w:r>
        <w:rPr/>
        <w:t xml:space="preserve"/>
      </w:r>
      <w:r>
        <w:rPr>
          <w:b/>
        </w:rPr>
        <w:t xml:space="preserve">Buyer:</w:t>
      </w:r>
      <w:r>
        <w:rPr/>
        <w:t xml:space="preserve"> Independent recruiter or boutique recruiting firm.</w:t>
      </w:r>
    </w:p>
    <w:p>
      <w:pPr>
        <w:pStyle w:val="Normal"/>
      </w:pPr>
      <w:r>
        <w:rPr/>
        <w:t xml:space="preserve"/>
      </w:r>
      <w:r>
        <w:rPr>
          <w:b/>
        </w:rPr>
        <w:t xml:space="preserve">Scenario:</w:t>
      </w:r>
      <w:r>
        <w:rPr/>
        <w:t xml:space="preserve"> A candidate sends a CV, a hiring manager owes feedback, and interview scheduling needs a response.</w:t>
      </w:r>
    </w:p>
    <w:p>
      <w:pPr>
        <w:pStyle w:val="Normal"/>
      </w:pPr>
      <w:r>
        <w:rPr/>
        <w:t xml:space="preserve"/>
      </w:r>
      <w:r>
        <w:rPr>
          <w:b/>
        </w:rPr>
        <w:t xml:space="preserve">Workflow:</w:t>
      </w:r>
      <w:r>
        <w:rPr/>
        <w:t xml:space="preserve"> Organize CV attachments using configured destinations, draft an appropriate acknowledgement, track unanswered requests to humans, and prepare scheduling replies using connected availability.</w:t>
      </w:r>
    </w:p>
    <w:p>
      <w:pPr>
        <w:pStyle w:val="Normal"/>
      </w:pPr>
      <w:r>
        <w:rPr/>
        <w:t xml:space="preserve"/>
      </w:r>
      <w:r>
        <w:rPr>
          <w:b/>
        </w:rPr>
        <w:t xml:space="preserve">Sales line:</w:t>
      </w:r>
      <w:r>
        <w:rPr/>
        <w:t xml:space="preserve"> “Keep candidate communication and documents organized while you run the search.”</w:t>
      </w:r>
    </w:p>
    <w:p>
      <w:pPr>
        <w:pStyle w:val="Normal"/>
      </w:pPr>
      <w:r>
        <w:rPr/>
        <w:t xml:space="preserve"/>
      </w:r>
      <w:r>
        <w:rPr>
          <w:b/>
        </w:rPr>
        <w:t xml:space="preserve">Measure:</w:t>
      </w:r>
      <w:r>
        <w:rPr/>
        <w:t xml:space="preserve"> Acknowledgement time, aged feedback requests, filing accuracy, and scheduling email effort.</w:t>
      </w:r>
    </w:p>
    <w:p>
      <w:pPr>
        <w:pStyle w:val="Normal"/>
      </w:pPr>
      <w:r>
        <w:rPr/>
        <w:t xml:space="preserve"/>
      </w:r>
      <w:r>
        <w:rPr>
          <w:b/>
        </w:rPr>
        <w:t xml:space="preserve">Readiness:</w:t>
      </w:r>
      <w:r>
        <w:rPr/>
        <w:t xml:space="preserve"> Composition of existing features plus configuration. Structured requisition tracking, candidate scoring, ATS writeback, and applicant ranking are additional product/integration work. The assistant's calendar tool creates proposed events; it cannot move or cancel existing calendar events.</w:t>
      </w:r>
    </w:p>
    <w:p>
      <w:pPr>
        <w:pStyle w:val="Normal"/>
      </w:pPr>
      <w:r>
        <w:rPr/>
        <w:t xml:space="preserve"/>
      </w:r>
      <w:r>
        <w:rPr>
          <w:b/>
        </w:rPr>
        <w:t xml:space="preserve">Why buy?</w:t>
      </w:r>
      <w:r>
        <w:rPr/>
        <w:t xml:space="preserve"> Useful for recruiters coordinating through email. An existing ATS with strong communication automation may already solve the problem.</w:t>
      </w:r>
    </w:p>
    <w:p>
      <w:pPr>
        <w:pStyle w:val="Heading2"/>
      </w:pPr>
      <w:r>
        <w:rPr/>
        <w:t xml:space="preserve">7. Handle document requests for bookkeeping clients</w:t>
      </w:r>
    </w:p>
    <w:p>
      <w:pPr>
        <w:pStyle w:val="Normal"/>
      </w:pPr>
      <w:r>
        <w:rPr/>
        <w:t xml:space="preserve"/>
      </w:r>
      <w:r>
        <w:rPr>
          <w:b/>
        </w:rPr>
        <w:t xml:space="preserve">Buyer:</w:t>
      </w:r>
      <w:r>
        <w:rPr/>
        <w:t xml:space="preserve"> Independent bookkeeper or small outsourced finance team.</w:t>
      </w:r>
    </w:p>
    <w:p>
      <w:pPr>
        <w:pStyle w:val="Normal"/>
      </w:pPr>
      <w:r>
        <w:rPr/>
        <w:t xml:space="preserve"/>
      </w:r>
      <w:r>
        <w:rPr>
          <w:b/>
        </w:rPr>
        <w:t xml:space="preserve">Scenario:</w:t>
      </w:r>
      <w:r>
        <w:rPr/>
        <w:t xml:space="preserve"> The bookkeeper emails a client asking for missing receipts. The client replies later with some documents.</w:t>
      </w:r>
    </w:p>
    <w:p>
      <w:pPr>
        <w:pStyle w:val="Normal"/>
      </w:pPr>
      <w:r>
        <w:rPr/>
        <w:t xml:space="preserve"/>
      </w:r>
      <w:r>
        <w:rPr>
          <w:b/>
        </w:rPr>
        <w:t xml:space="preserve">Workflow:</w:t>
      </w:r>
      <w:r>
        <w:rPr/>
        <w:t xml:space="preserve"> Track the unanswered request, prepare a reminder when appropriate, and file arriving attachments into configured client folders.</w:t>
      </w:r>
    </w:p>
    <w:p>
      <w:pPr>
        <w:pStyle w:val="Normal"/>
      </w:pPr>
      <w:r>
        <w:rPr/>
        <w:t xml:space="preserve"/>
      </w:r>
      <w:r>
        <w:rPr>
          <w:b/>
        </w:rPr>
        <w:t xml:space="preserve">Sales line:</w:t>
      </w:r>
      <w:r>
        <w:rPr/>
        <w:t xml:space="preserve"> “Spend less time chasing replies and sorting the documents clients send.”</w:t>
      </w:r>
    </w:p>
    <w:p>
      <w:pPr>
        <w:pStyle w:val="Normal"/>
      </w:pPr>
      <w:r>
        <w:rPr/>
        <w:t xml:space="preserve"/>
      </w:r>
      <w:r>
        <w:rPr>
          <w:b/>
        </w:rPr>
        <w:t xml:space="preserve">Measure:</w:t>
      </w:r>
      <w:r>
        <w:rPr/>
        <w:t xml:space="preserve"> Chasing/admin time and time from request to client response.</w:t>
      </w:r>
    </w:p>
    <w:p>
      <w:pPr>
        <w:pStyle w:val="Normal"/>
      </w:pPr>
      <w:r>
        <w:rPr/>
        <w:t xml:space="preserve"/>
      </w:r>
      <w:r>
        <w:rPr>
          <w:b/>
        </w:rPr>
        <w:t xml:space="preserve">Readiness:</w:t>
      </w:r>
      <w:r>
        <w:rPr/>
        <w:t xml:space="preserve"> Email tracking and filing exist. Determining whether every required document has arrived needs a structured checklist or accounting integration; a replied-to thread is not proof of document completeness.</w:t>
      </w:r>
    </w:p>
    <w:p>
      <w:pPr>
        <w:pStyle w:val="Normal"/>
      </w:pPr>
      <w:r>
        <w:rPr/>
        <w:t xml:space="preserve"/>
      </w:r>
      <w:r>
        <w:rPr>
          <w:b/>
        </w:rPr>
        <w:t xml:space="preserve">Why buy?</w:t>
      </w:r>
      <w:r>
        <w:rPr/>
        <w:t xml:space="preserve"> A coherent workflow for small practices without a well-adopted client portal. Avoid claims about knowing overdue balances without accounting data.</w:t>
      </w:r>
    </w:p>
    <w:p>
      <w:pPr>
        <w:pStyle w:val="Heading2"/>
      </w:pPr>
      <w:r>
        <w:rPr/>
        <w:t xml:space="preserve">8. Reduce inbox noise while preserving useful updates</w:t>
      </w:r>
    </w:p>
    <w:p>
      <w:pPr>
        <w:pStyle w:val="Normal"/>
      </w:pPr>
      <w:r>
        <w:rPr/>
        <w:t xml:space="preserve"/>
      </w:r>
      <w:r>
        <w:rPr>
          <w:b/>
        </w:rPr>
        <w:t xml:space="preserve">Buyer:</w:t>
      </w:r>
      <w:r>
        <w:rPr/>
        <w:t xml:space="preserve"> Founder, consultant, or professional with heavy subscription traffic.</w:t>
      </w:r>
    </w:p>
    <w:p>
      <w:pPr>
        <w:pStyle w:val="Normal"/>
      </w:pPr>
      <w:r>
        <w:rPr/>
        <w:t xml:space="preserve"/>
      </w:r>
      <w:r>
        <w:rPr>
          <w:b/>
        </w:rPr>
        <w:t xml:space="preserve">Scenario:</w:t>
      </w:r>
      <w:r>
        <w:rPr/>
        <w:t xml:space="preserve"> Newsletters, promotions, and unsolicited pitches crowd out client messages.</w:t>
      </w:r>
    </w:p>
    <w:p>
      <w:pPr>
        <w:pStyle w:val="Normal"/>
      </w:pPr>
      <w:r>
        <w:rPr/>
        <w:t xml:space="preserve"/>
      </w:r>
      <w:r>
        <w:rPr>
          <w:b/>
        </w:rPr>
        <w:t xml:space="preserve">Workflow:</w:t>
      </w:r>
      <w:r>
        <w:rPr/>
        <w:t xml:space="preserve"> Review bulk unsubscribe candidates, configure cold-email treatment, collect selected categories into digests, and delay archive actions where appropriate.</w:t>
      </w:r>
    </w:p>
    <w:p>
      <w:pPr>
        <w:pStyle w:val="Normal"/>
      </w:pPr>
      <w:r>
        <w:rPr/>
        <w:t xml:space="preserve"/>
      </w:r>
      <w:r>
        <w:rPr>
          <w:b/>
        </w:rPr>
        <w:t xml:space="preserve">Sales line:</w:t>
      </w:r>
      <w:r>
        <w:rPr/>
        <w:t xml:space="preserve"> “Keep useful updates in a digest and give client conversations more room.”</w:t>
      </w:r>
    </w:p>
    <w:p>
      <w:pPr>
        <w:pStyle w:val="Normal"/>
      </w:pPr>
      <w:r>
        <w:rPr/>
        <w:t xml:space="preserve"/>
      </w:r>
      <w:r>
        <w:rPr>
          <w:b/>
        </w:rPr>
        <w:t xml:space="preserve">Measure:</w:t>
      </w:r>
      <w:r>
        <w:rPr/>
        <w:t xml:space="preserve"> Manual triage time and unwanted-message volume, while reviewing incorrectly hidden important messages.</w:t>
      </w:r>
    </w:p>
    <w:p>
      <w:pPr>
        <w:pStyle w:val="Normal"/>
      </w:pPr>
      <w:r>
        <w:rPr/>
        <w:t xml:space="preserve"/>
      </w:r>
      <w:r>
        <w:rPr>
          <w:b/>
        </w:rPr>
        <w:t xml:space="preserve">Readiness:</w:t>
      </w:r>
      <w:r>
        <w:rPr/>
        <w:t xml:space="preserve"> Existing features plus rules/configuration. Best used as onboarding value or an add-on; a cleanup alone is a weak reason for a durable subscription.</w:t>
      </w:r>
    </w:p>
    <w:p>
      <w:pPr>
        <w:pStyle w:val="Heading1"/>
      </w:pPr>
      <w:r>
        <w:rPr/>
        <w:t xml:space="preserve">Defensible differences and limits</w:t>
      </w:r>
    </w:p>
    <w:tbl>
      <w:tblPr>
        <w:tblW w:w="9360" w:type="dxa"/>
        <w:tblLayout w:type="fixed"/>
        <w:tblBorders>
          <w:top w:val="single" w:sz="4" w:color="D5DFE7"/>
          <w:left w:val="single" w:sz="4" w:color="D5DFE7"/>
          <w:bottom w:val="single" w:sz="4" w:color="D5DFE7"/>
          <w:right w:val="single" w:sz="4" w:color="D5DFE7"/>
          <w:insideH w:val="single" w:sz="4" w:color="D5DFE7"/>
          <w:insideV w:val="single" w:sz="4" w:color="D5DFE7"/>
        </w:tblBorders>
        <w:tblCellMar>
          <w:top w:w="110" w:type="dxa"/>
          <w:left w:w="110" w:type="dxa"/>
          <w:bottom w:w="110" w:type="dxa"/>
          <w:right w:w="110" w:type="dxa"/>
        </w:tblCellMar>
      </w:tblPr>
      <w:tblGrid>
        <w:gridCol w:w="3120"/>
        <w:gridCol w:w="3120"/>
        <w:gridCol w:w="3120"/>
      </w:tblGrid>
      <w:tr>
        <w:trPr>
          <w:tblHeader/>
        </w:trPr>
        <w:tc>
          <w:tcPr>
            <w:tcW w:w="3120" w:type="dxa"/>
            <w:shd w:fill="17354A"/>
          </w:tcPr>
          <w:p>
            <w:pPr>
              <w:pStyle w:val="TableText"/>
            </w:pPr>
            <w:r>
              <w:rPr>
                <w:color w:val="FFFFFF"/>
              </w:rPr>
              <w:t xml:space="preserve">Candidate difference</w:t>
            </w:r>
          </w:p>
        </w:tc>
        <w:tc>
          <w:tcPr>
            <w:tcW w:w="3120" w:type="dxa"/>
            <w:shd w:fill="17354A"/>
          </w:tcPr>
          <w:p>
            <w:pPr>
              <w:pStyle w:val="TableText"/>
            </w:pPr>
            <w:r>
              <w:rPr>
                <w:color w:val="FFFFFF"/>
              </w:rPr>
              <w:t xml:space="preserve">Defensible claim</w:t>
            </w:r>
          </w:p>
        </w:tc>
        <w:tc>
          <w:tcPr>
            <w:tcW w:w="3120" w:type="dxa"/>
            <w:shd w:fill="17354A"/>
          </w:tcPr>
          <w:p>
            <w:pPr>
              <w:pStyle w:val="TableText"/>
            </w:pPr>
            <w:r>
              <w:rPr>
                <w:color w:val="FFFFFF"/>
              </w:rPr>
              <w:t xml:space="preserve">Limit</w:t>
            </w:r>
          </w:p>
        </w:tc>
      </w:tr>
      <w:tr>
        <w:trPr/>
        <w:tc>
          <w:tcPr>
            <w:tcW w:w="3120" w:type="dxa"/>
            <w:shd w:fill="F1F5F8"/>
          </w:tcPr>
          <w:p>
            <w:pPr>
              <w:pStyle w:val="TableText"/>
            </w:pPr>
            <w:r>
              <w:rPr/>
              <w:t xml:space="preserve">Gmail and Outlook support</w:t>
            </w:r>
          </w:p>
        </w:tc>
        <w:tc>
          <w:tcPr>
            <w:tcW w:w="3120" w:type="dxa"/>
            <w:shd w:fill="F1F5F8"/>
          </w:tcPr>
          <w:p>
            <w:pPr>
              <w:pStyle w:val="TableText"/>
            </w:pPr>
            <w:r>
              <w:rPr/>
              <w:t xml:space="preserve">One product with provider-specific adapters and workflows</w:t>
            </w:r>
          </w:p>
        </w:tc>
        <w:tc>
          <w:tcPr>
            <w:tcW w:w="3120" w:type="dxa"/>
            <w:shd w:fill="F1F5F8"/>
          </w:tcPr>
          <w:p>
            <w:pPr>
              <w:pStyle w:val="TableText"/>
            </w:pPr>
            <w:r>
              <w:rPr/>
              <w:t xml:space="preserve">Account-scoped tools are not a verified unified search across all mailboxes; feature parity is incomplete.</w:t>
            </w:r>
          </w:p>
        </w:tc>
      </w:tr>
      <w:tr>
        <w:trPr/>
        <w:tc>
          <w:tcPr>
            <w:tcW w:w="3120" w:type="dxa"/>
            <w:shd w:fill="FFFFFF"/>
          </w:tcPr>
          <w:p>
            <w:pPr>
              <w:pStyle w:val="TableText"/>
            </w:pPr>
            <w:r>
              <w:rPr/>
              <w:t xml:space="preserve">Email workflow packaging</w:t>
            </w:r>
          </w:p>
        </w:tc>
        <w:tc>
          <w:tcPr>
            <w:tcW w:w="3120" w:type="dxa"/>
            <w:shd w:fill="FFFFFF"/>
          </w:tcPr>
          <w:p>
            <w:pPr>
              <w:pStyle w:val="TableText"/>
            </w:pPr>
            <w:r>
              <w:rPr/>
              <w:t xml:space="preserve">Rules, tracking, drafts, filing, notifications, and execution history in one product</w:t>
            </w:r>
          </w:p>
        </w:tc>
        <w:tc>
          <w:tcPr>
            <w:tcW w:w="3120" w:type="dxa"/>
            <w:shd w:fill="FFFFFF"/>
          </w:tcPr>
          <w:p>
            <w:pPr>
              <w:pStyle w:val="TableText"/>
            </w:pPr>
            <w:r>
              <w:rPr/>
              <w:t xml:space="preserve">Competitors can implement many of the same workflows; lower setup burden remains a hypothesis.</w:t>
            </w:r>
          </w:p>
        </w:tc>
      </w:tr>
      <w:tr>
        <w:trPr/>
        <w:tc>
          <w:tcPr>
            <w:tcW w:w="3120" w:type="dxa"/>
            <w:shd w:fill="F1F5F8"/>
          </w:tcPr>
          <w:p>
            <w:pPr>
              <w:pStyle w:val="TableText"/>
            </w:pPr>
            <w:r>
              <w:rPr/>
              <w:t xml:space="preserve">Correction mechanisms</w:t>
            </w:r>
          </w:p>
        </w:tc>
        <w:tc>
          <w:tcPr>
            <w:tcW w:w="3120" w:type="dxa"/>
            <w:shd w:fill="F1F5F8"/>
          </w:tcPr>
          <w:p>
            <w:pPr>
              <w:pStyle w:val="TableText"/>
            </w:pPr>
            <w:r>
              <w:rPr/>
              <w:t xml:space="preserve">Rule history/fix flows, learned exclusions, reply-edit memory, and filing corrections</w:t>
            </w:r>
          </w:p>
        </w:tc>
        <w:tc>
          <w:tcPr>
            <w:tcW w:w="3120" w:type="dxa"/>
            <w:shd w:fill="F1F5F8"/>
          </w:tcPr>
          <w:p>
            <w:pPr>
              <w:pStyle w:val="TableText"/>
            </w:pPr>
            <w:r>
              <w:rPr/>
              <w:t xml:space="preserve">Does not prove superior accuracy or zero recurring mistakes.</w:t>
            </w:r>
          </w:p>
        </w:tc>
      </w:tr>
      <w:tr>
        <w:trPr/>
        <w:tc>
          <w:tcPr>
            <w:tcW w:w="3120" w:type="dxa"/>
            <w:shd w:fill="FFFFFF"/>
          </w:tcPr>
          <w:p>
            <w:pPr>
              <w:pStyle w:val="TableText"/>
            </w:pPr>
            <w:r>
              <w:rPr/>
              <w:t xml:space="preserve">Business knowledge in drafts</w:t>
            </w:r>
          </w:p>
        </w:tc>
        <w:tc>
          <w:tcPr>
            <w:tcW w:w="3120" w:type="dxa"/>
            <w:shd w:fill="FFFFFF"/>
          </w:tcPr>
          <w:p>
            <w:pPr>
              <w:pStyle w:val="TableText"/>
            </w:pPr>
            <w:r>
              <w:rPr/>
              <w:t xml:space="preserve">Explicit knowledge and writing instructions plus contextual drafting</w:t>
            </w:r>
          </w:p>
        </w:tc>
        <w:tc>
          <w:tcPr>
            <w:tcW w:w="3120" w:type="dxa"/>
            <w:shd w:fill="FFFFFF"/>
          </w:tcPr>
          <w:p>
            <w:pPr>
              <w:pStyle w:val="TableText"/>
            </w:pPr>
            <w:r>
              <w:rPr/>
              <w:t xml:space="preserve">Competitors also offer context and personalization.</w:t>
            </w:r>
          </w:p>
        </w:tc>
      </w:tr>
      <w:tr>
        <w:trPr/>
        <w:tc>
          <w:tcPr>
            <w:tcW w:w="3120" w:type="dxa"/>
            <w:shd w:fill="F1F5F8"/>
          </w:tcPr>
          <w:p>
            <w:pPr>
              <w:pStyle w:val="TableText"/>
            </w:pPr>
            <w:r>
              <w:rPr/>
              <w:t xml:space="preserve">Self-hosting and model choice</w:t>
            </w:r>
          </w:p>
        </w:tc>
        <w:tc>
          <w:tcPr>
            <w:tcW w:w="3120" w:type="dxa"/>
            <w:shd w:fill="F1F5F8"/>
          </w:tcPr>
          <w:p>
            <w:pPr>
              <w:pStyle w:val="TableText"/>
            </w:pPr>
            <w:r>
              <w:rPr/>
              <w:t xml:space="preserve">Deployment documentation and configurable model providers exist</w:t>
            </w:r>
          </w:p>
        </w:tc>
        <w:tc>
          <w:tcPr>
            <w:tcW w:w="3120" w:type="dxa"/>
            <w:shd w:fill="F1F5F8"/>
          </w:tcPr>
          <w:p>
            <w:pPr>
              <w:pStyle w:val="TableText"/>
            </w:pPr>
            <w:r>
              <w:rPr/>
              <w:t xml:space="preserve">Does not itself establish compliance, air-gapped operation, or that email never reaches an external provider.</w:t>
            </w:r>
          </w:p>
        </w:tc>
      </w:tr>
      <w:tr>
        <w:trPr/>
        <w:tc>
          <w:tcPr>
            <w:tcW w:w="3120" w:type="dxa"/>
            <w:shd w:fill="FFFFFF"/>
          </w:tcPr>
          <w:p>
            <w:pPr>
              <w:pStyle w:val="TableText"/>
            </w:pPr>
            <w:r>
              <w:rPr/>
              <w:t xml:space="preserve">Organization rollout</w:t>
            </w:r>
          </w:p>
        </w:tc>
        <w:tc>
          <w:tcPr>
            <w:tcW w:w="3120" w:type="dxa"/>
            <w:shd w:fill="FFFFFF"/>
          </w:tcPr>
          <w:p>
            <w:pPr>
              <w:pStyle w:val="TableText"/>
            </w:pPr>
            <w:r>
              <w:rPr/>
              <w:t xml:space="preserve">Managed rule copies and organization activity analytics exist</w:t>
            </w:r>
          </w:p>
        </w:tc>
        <w:tc>
          <w:tcPr>
            <w:tcW w:w="3120" w:type="dxa"/>
            <w:shd w:fill="FFFFFF"/>
          </w:tcPr>
          <w:p>
            <w:pPr>
              <w:pStyle w:val="TableText"/>
            </w:pPr>
            <w:r>
              <w:rPr/>
              <w:t xml:space="preserve">Not a verified shared inbox, assignment queue, or CRM. Member-specific messaging actions cannot be organization rules.</w:t>
            </w:r>
          </w:p>
        </w:tc>
      </w:tr>
    </w:tbl>
    <w:p>
      <w:pPr>
        <w:pStyle w:val="Normal"/>
      </w:pPr>
      <w:r>
        <w:rPr/>
        <w:t xml:space="preserve"/>
      </w:r>
    </w:p>
    <w:p>
      <w:pPr>
        <w:pStyle w:val="Normal"/>
      </w:pPr>
      <w:r>
        <w:rPr/>
        <w:t xml:space="preserve">Additional boundaries that affect demos:</w:t>
      </w:r>
    </w:p>
    <w:p>
      <w:pPr>
        <w:pStyle w:val="ListParagraph"/>
      </w:pPr>
      <w:r>
        <w:rPr/>
        <w:t xml:space="preserve">•  Scheduled check-in generation reads inbox statistics and at most eight inbox messages, capped to short message context. It generates a short check-in, not a full autonomous business audit. Rule-collected digests are a separate feature.</w:t>
      </w:r>
    </w:p>
    <w:p>
      <w:pPr>
        <w:pStyle w:val="ListParagraph"/>
      </w:pPr>
      <w:r>
        <w:rPr/>
        <w:t xml:space="preserve">•  Email sending, automatic drafting, and webhooks can be gated by deployment flags. Confirm the target deployment before presenting these as available.</w:t>
      </w:r>
    </w:p>
    <w:p>
      <w:pPr>
        <w:pStyle w:val="ListParagraph"/>
      </w:pPr>
      <w:r>
        <w:rPr/>
        <w:t xml:space="preserve">•  Teams documentation currently describes direct-message assistant chat and excludes channel meeting-brief/filing notifications. Do not promise Slack/Teams parity.</w:t>
      </w:r>
    </w:p>
    <w:p>
      <w:pPr>
        <w:pStyle w:val="ListParagraph"/>
      </w:pPr>
      <w:r>
        <w:rPr/>
        <w:t xml:space="preserve">•  Webhooks send email metadata and rule-execution information, not a ready-made invoice or CRM record. The current sender logs and continues after failure; downstream workflows need deliberate delivery/reconciliation design.</w:t>
      </w:r>
    </w:p>
    <w:p>
      <w:pPr>
        <w:pStyle w:val="ListParagraph"/>
      </w:pPr>
      <w:r>
        <w:rPr/>
        <w:t xml:space="preserve">•  Self-hosting adds operating responsibilities and model/infrastructure costs. No price advantage was established in this review.</w:t>
      </w:r>
    </w:p>
    <w:p>
      <w:pPr>
        <w:pStyle w:val="Heading1"/>
      </w:pPr>
      <w:r>
        <w:rPr/>
        <w:t xml:space="preserve">How to sell and validate</w:t>
      </w:r>
    </w:p>
    <w:p>
      <w:pPr>
        <w:pStyle w:val="Normal"/>
      </w:pPr>
      <w:r>
        <w:rPr/>
        <w:t xml:space="preserve">Offer a configured client-communication pilot, initially to agencies/consultancies, with a document-filing option for administration-heavy customers. Use setup/service fees and a recurring subscription as commercial hypotheses; set actual prices after measuring service effort and per-account costs.</w:t>
      </w:r>
    </w:p>
    <w:p>
      <w:pPr>
        <w:pStyle w:val="Normal"/>
      </w:pPr>
      <w:r>
        <w:rPr/>
        <w:t xml:space="preserve">Qualify for repeated email-dependent work, clear follow-up pain, an owner for configuration, and willingness to connect accounts. Deprioritize low-volume inboxes and organizations whose existing Copilot, Studio, CRM, or helpdesk setup already handles the target workflow satisfactorily.</w:t>
      </w:r>
    </w:p>
    <w:p>
      <w:pPr>
        <w:pStyle w:val="Normal"/>
      </w:pPr>
      <w:r>
        <w:rPr/>
        <w:t xml:space="preserve">Run a two-week pilot on a limited number of authorized accounts:</w:t>
      </w:r>
    </w:p>
    <w:p>
      <w:pPr>
        <w:pStyle w:val="ListParagraph"/>
      </w:pPr>
      <w:r>
        <w:rPr/>
        <w:t xml:space="preserve">1. Establish a baseline using a reviewed sample of relevant conversations and documents.</w:t>
      </w:r>
    </w:p>
    <w:p>
      <w:pPr>
        <w:pStyle w:val="ListParagraph"/>
      </w:pPr>
      <w:r>
        <w:rPr/>
        <w:t xml:space="preserve">2. Configure the customer's vocabulary, knowledge, reminder thresholds, destinations, and approval behavior.</w:t>
      </w:r>
    </w:p>
    <w:p>
      <w:pPr>
        <w:pStyle w:val="ListParagraph"/>
      </w:pPr>
      <w:r>
        <w:rPr/>
        <w:t xml:space="preserve">3. Review drafts, classifications, and filing results together early in the pilot.</w:t>
      </w:r>
    </w:p>
    <w:p>
      <w:pPr>
        <w:pStyle w:val="ListParagraph"/>
      </w:pPr>
      <w:r>
        <w:rPr/>
        <w:t xml:space="preserve">4. Measure net time saved after review/correction effort and how many aged conversations were surfaced and acted on.</w:t>
      </w:r>
    </w:p>
    <w:p>
      <w:pPr>
        <w:pStyle w:val="ListParagraph"/>
      </w:pPr>
      <w:r>
        <w:rPr/>
        <w:t xml:space="preserve">5. Compare the same workflow with the customer's existing assistant where available. Measure setup and maintenance time as well as output quality.</w:t>
      </w:r>
    </w:p>
    <w:p>
      <w:pPr>
        <w:pStyle w:val="Normal"/>
      </w:pPr>
      <w:r>
        <w:rPr/>
        <w:t xml:space="preserve">Illustrative arithmetic only: 20 minutes of net time saved on 20 working days equals about 6.7 hours per month. At the buyer's own assumed hourly value of $40, that is about $267 in time value. It is neither measured product ROI nor a price recommendation. Do not double-count time recovered across overlapping features.</w:t>
      </w:r>
    </w:p>
    <w:p>
      <w:pPr>
        <w:pStyle w:val="Normal"/>
      </w:pPr>
      <w:r>
        <w:rPr/>
        <w:t xml:space="preserve">Suggested demo uses a fictional agency and explicitly marked test data: an inquiry with approved service facts; a sent proposal old enough to qualify for follow-up; an incoming PDF contract; an upcoming external meeting. Show the prepared reply, conversation status, reminder draft, filing destination, and briefing. Demonstrate one correction. For Outlook, use its supported native organization surfaces rather than promising the Gmail Reply Zero screen.</w:t>
      </w:r>
    </w:p>
    <w:p>
      <w:pPr>
        <w:pStyle w:val="Normal"/>
      </w:pPr>
      <w:r>
        <w:rPr/>
        <w:t xml:space="preserve">Suggested answer to “We already pay for Copilot/Gemini”:</w:t>
      </w:r>
    </w:p>
    <w:p>
      <w:pPr>
        <w:pStyle w:val="Quote"/>
      </w:pPr>
      <w:r>
        <w:rPr/>
        <w:t xml:space="preserve">Those products can handle many of these tasks. Our pilot tests whether this configured email workflow saves your team additional time and helps you act on client conversations consistently. If your current setup already does that well, you may not need another product.</w:t>
      </w:r>
    </w:p>
    <w:p>
      <w:pPr>
        <w:pStyle w:val="Normal"/>
      </w:pPr>
      <w:r>
        <w:rPr/>
        <w:t xml:space="preserve">Prioritize product work that strengthens this offer: provider parity, explicit client/work-item state, document-completeness tracking, dependable CRM/accounting integration, and outcome measurement. More general chat features alone will not make the proposition distinctive.</w:t>
      </w:r>
    </w:p>
    <w:p>
      <w:pPr>
        <w:pStyle w:val="Heading1"/>
      </w:pPr>
      <w:r>
        <w:rPr/>
        <w:t xml:space="preserve">Repository evidence</w:t>
      </w:r>
    </w:p>
    <w:tbl>
      <w:tblPr>
        <w:tblW w:w="9360" w:type="dxa"/>
        <w:tblLayout w:type="fixed"/>
        <w:tblBorders>
          <w:top w:val="single" w:sz="4" w:color="D5DFE7"/>
          <w:left w:val="single" w:sz="4" w:color="D5DFE7"/>
          <w:bottom w:val="single" w:sz="4" w:color="D5DFE7"/>
          <w:right w:val="single" w:sz="4" w:color="D5DFE7"/>
          <w:insideH w:val="single" w:sz="4" w:color="D5DFE7"/>
          <w:insideV w:val="single" w:sz="4" w:color="D5DFE7"/>
        </w:tblBorders>
        <w:tblCellMar>
          <w:top w:w="110" w:type="dxa"/>
          <w:left w:w="110" w:type="dxa"/>
          <w:bottom w:w="110" w:type="dxa"/>
          <w:right w:w="110" w:type="dxa"/>
        </w:tblCellMar>
      </w:tblPr>
      <w:tblGrid>
        <w:gridCol w:w="4680"/>
        <w:gridCol w:w="4680"/>
      </w:tblGrid>
      <w:tr>
        <w:trPr>
          <w:tblHeader/>
        </w:trPr>
        <w:tc>
          <w:tcPr>
            <w:tcW w:w="4680" w:type="dxa"/>
            <w:shd w:fill="17354A"/>
          </w:tcPr>
          <w:p>
            <w:pPr>
              <w:pStyle w:val="TableText"/>
            </w:pPr>
            <w:r>
              <w:rPr>
                <w:color w:val="FFFFFF"/>
              </w:rPr>
              <w:t xml:space="preserve">Area</w:t>
            </w:r>
          </w:p>
        </w:tc>
        <w:tc>
          <w:tcPr>
            <w:tcW w:w="4680" w:type="dxa"/>
            <w:shd w:fill="17354A"/>
          </w:tcPr>
          <w:p>
            <w:pPr>
              <w:pStyle w:val="TableText"/>
            </w:pPr>
            <w:r>
              <w:rPr>
                <w:color w:val="FFFFFF"/>
              </w:rPr>
              <w:t xml:space="preserve">Files reviewed</w:t>
            </w:r>
          </w:p>
        </w:tc>
      </w:tr>
      <w:tr>
        <w:trPr/>
        <w:tc>
          <w:tcPr>
            <w:tcW w:w="4680" w:type="dxa"/>
            <w:shd w:fill="F1F5F8"/>
          </w:tcPr>
          <w:p>
            <w:pPr>
              <w:pStyle w:val="TableText"/>
            </w:pPr>
            <w:r>
              <w:rPr/>
              <w:t xml:space="preserve">Product breadth and account model</w:t>
            </w:r>
          </w:p>
        </w:tc>
        <w:tc>
          <w:tcPr>
            <w:tcW w:w="4680" w:type="dxa"/>
            <w:shd w:fill="F1F5F8"/>
          </w:tcPr>
          <w:p>
            <w:pPr>
              <w:pStyle w:val="TableText"/>
            </w:pPr>
            <w:r>
              <w:rPr/>
              <w:t xml:space="preserve"/>
            </w:r>
            <w:r>
              <w:rPr/>
              <w:t xml:space="preserve">README [../README.md]</w:t>
            </w:r>
            <w:r>
              <w:rPr/>
              <w:t xml:space="preserve">, </w:t>
            </w:r>
            <w:r>
              <w:rPr/>
              <w:t xml:space="preserve">Prisma schema [../apps/web/prisma/schema.prisma]</w:t>
            </w:r>
            <w:r>
              <w:rPr/>
              <w:t xml:space="preserve">, app page inventory</w:t>
            </w:r>
          </w:p>
        </w:tc>
      </w:tr>
      <w:tr>
        <w:trPr/>
        <w:tc>
          <w:tcPr>
            <w:tcW w:w="4680" w:type="dxa"/>
            <w:shd w:fill="FFFFFF"/>
          </w:tcPr>
          <w:p>
            <w:pPr>
              <w:pStyle w:val="TableText"/>
            </w:pPr>
            <w:r>
              <w:rPr/>
              <w:t xml:space="preserve">Provider support</w:t>
            </w:r>
          </w:p>
        </w:tc>
        <w:tc>
          <w:tcPr>
            <w:tcW w:w="4680" w:type="dxa"/>
            <w:shd w:fill="FFFFFF"/>
          </w:tcPr>
          <w:p>
            <w:pPr>
              <w:pStyle w:val="TableText"/>
            </w:pPr>
            <w:r>
              <w:rPr/>
              <w:t xml:space="preserve"/>
            </w:r>
            <w:r>
              <w:rPr/>
              <w:t xml:space="preserve">Email provider factory [../apps/web/utils/email/provider.ts]</w:t>
            </w:r>
            <w:r>
              <w:rPr/>
              <w:t xml:space="preserve">, </w:t>
            </w:r>
            <w:r>
              <w:rPr/>
              <w:t xml:space="preserve">Microsoft assistant configuration [../apps/web/utils/ai/assistant/chat-provider-microsoft.ts]</w:t>
            </w:r>
            <w:r>
              <w:rPr/>
              <w:t xml:space="preserve"/>
            </w:r>
          </w:p>
        </w:tc>
      </w:tr>
      <w:tr>
        <w:trPr/>
        <w:tc>
          <w:tcPr>
            <w:tcW w:w="4680" w:type="dxa"/>
            <w:shd w:fill="F1F5F8"/>
          </w:tcPr>
          <w:p>
            <w:pPr>
              <w:pStyle w:val="TableText"/>
            </w:pPr>
            <w:r>
              <w:rPr/>
              <w:t xml:space="preserve">Rules and conversation state</w:t>
            </w:r>
          </w:p>
        </w:tc>
        <w:tc>
          <w:tcPr>
            <w:tcW w:w="4680" w:type="dxa"/>
            <w:shd w:fill="F1F5F8"/>
          </w:tcPr>
          <w:p>
            <w:pPr>
              <w:pStyle w:val="TableText"/>
            </w:pPr>
            <w:r>
              <w:rPr/>
              <w:t xml:space="preserve"/>
            </w:r>
            <w:r>
              <w:rPr/>
              <w:t xml:space="preserve">Rules engine [../apps/web/utils/ai/choose-rule/run-rules.ts]</w:t>
            </w:r>
            <w:r>
              <w:rPr/>
              <w:t xml:space="preserve">, </w:t>
            </w:r>
            <w:r>
              <w:rPr/>
              <w:t xml:space="preserve">rules guide [essentials/email-ai-personal-assistant.mdx]</w:t>
            </w:r>
            <w:r>
              <w:rPr/>
              <w:t xml:space="preserve"/>
            </w:r>
          </w:p>
        </w:tc>
      </w:tr>
      <w:tr>
        <w:trPr/>
        <w:tc>
          <w:tcPr>
            <w:tcW w:w="4680" w:type="dxa"/>
            <w:shd w:fill="FFFFFF"/>
          </w:tcPr>
          <w:p>
            <w:pPr>
              <w:pStyle w:val="TableText"/>
            </w:pPr>
            <w:r>
              <w:rPr/>
              <w:t xml:space="preserve">Follow-ups</w:t>
            </w:r>
          </w:p>
        </w:tc>
        <w:tc>
          <w:tcPr>
            <w:tcW w:w="4680" w:type="dxa"/>
            <w:shd w:fill="FFFFFF"/>
          </w:tcPr>
          <w:p>
            <w:pPr>
              <w:pStyle w:val="TableText"/>
            </w:pPr>
            <w:r>
              <w:rPr/>
              <w:t xml:space="preserve"/>
            </w:r>
            <w:r>
              <w:rPr/>
              <w:t xml:space="preserve">Processor [../apps/web/utils/follow-up/process.ts]</w:t>
            </w:r>
            <w:r>
              <w:rPr/>
              <w:t xml:space="preserve">, </w:t>
            </w:r>
            <w:r>
              <w:rPr/>
              <w:t xml:space="preserve">notification actions [../apps/web/utils/follow-up/follow-up-actions.ts]</w:t>
            </w:r>
            <w:r>
              <w:rPr/>
              <w:t xml:space="preserve">, </w:t>
            </w:r>
            <w:r>
              <w:rPr/>
              <w:t xml:space="preserve">Reply Zero guide [essentials/reply-zero.mdx]</w:t>
            </w:r>
            <w:r>
              <w:rPr/>
              <w:t xml:space="preserve"/>
            </w:r>
          </w:p>
        </w:tc>
      </w:tr>
      <w:tr>
        <w:trPr/>
        <w:tc>
          <w:tcPr>
            <w:tcW w:w="4680" w:type="dxa"/>
            <w:shd w:fill="F1F5F8"/>
          </w:tcPr>
          <w:p>
            <w:pPr>
              <w:pStyle w:val="TableText"/>
            </w:pPr>
            <w:r>
              <w:rPr/>
              <w:t xml:space="preserve">Drafting</w:t>
            </w:r>
          </w:p>
        </w:tc>
        <w:tc>
          <w:tcPr>
            <w:tcW w:w="4680" w:type="dxa"/>
            <w:shd w:fill="F1F5F8"/>
          </w:tcPr>
          <w:p>
            <w:pPr>
              <w:pStyle w:val="TableText"/>
            </w:pPr>
            <w:r>
              <w:rPr/>
              <w:t xml:space="preserve"/>
            </w:r>
            <w:r>
              <w:rPr/>
              <w:t xml:space="preserve">Draft reply [../apps/web/utils/ai/reply/draft-reply.ts]</w:t>
            </w:r>
            <w:r>
              <w:rPr/>
              <w:t xml:space="preserve">, </w:t>
            </w:r>
            <w:r>
              <w:rPr/>
              <w:t xml:space="preserve">historical context [../apps/web/utils/ai/reply/reply-context-collector.ts]</w:t>
            </w:r>
            <w:r>
              <w:rPr/>
              <w:t xml:space="preserve">, </w:t>
            </w:r>
            <w:r>
              <w:rPr/>
              <w:t xml:space="preserve">confidence settings [../apps/web/utils/ai/reply/draft-confidence.ts]</w:t>
            </w:r>
            <w:r>
              <w:rPr/>
              <w:t xml:space="preserve"/>
            </w:r>
          </w:p>
        </w:tc>
      </w:tr>
      <w:tr>
        <w:trPr/>
        <w:tc>
          <w:tcPr>
            <w:tcW w:w="4680" w:type="dxa"/>
            <w:shd w:fill="FFFFFF"/>
          </w:tcPr>
          <w:p>
            <w:pPr>
              <w:pStyle w:val="TableText"/>
            </w:pPr>
            <w:r>
              <w:rPr/>
              <w:t xml:space="preserve">Filing</w:t>
            </w:r>
          </w:p>
        </w:tc>
        <w:tc>
          <w:tcPr>
            <w:tcW w:w="4680" w:type="dxa"/>
            <w:shd w:fill="FFFFFF"/>
          </w:tcPr>
          <w:p>
            <w:pPr>
              <w:pStyle w:val="TableText"/>
            </w:pPr>
            <w:r>
              <w:rPr/>
              <w:t xml:space="preserve"/>
            </w:r>
            <w:r>
              <w:rPr/>
              <w:t xml:space="preserve">Filing engine [../apps/web/utils/drive/filing-engine.ts]</w:t>
            </w:r>
            <w:r>
              <w:rPr/>
              <w:t xml:space="preserve">, </w:t>
            </w:r>
            <w:r>
              <w:rPr/>
              <w:t xml:space="preserve">document analysis [../apps/web/utils/ai/document-filing/analyze-document.ts]</w:t>
            </w:r>
            <w:r>
              <w:rPr/>
              <w:t xml:space="preserve">, </w:t>
            </w:r>
            <w:r>
              <w:rPr/>
              <w:t xml:space="preserve">filing guide [essentials/auto-file-attachments.mdx]</w:t>
            </w:r>
            <w:r>
              <w:rPr/>
              <w:t xml:space="preserve"/>
            </w:r>
          </w:p>
        </w:tc>
      </w:tr>
      <w:tr>
        <w:trPr/>
        <w:tc>
          <w:tcPr>
            <w:tcW w:w="4680" w:type="dxa"/>
            <w:shd w:fill="F1F5F8"/>
          </w:tcPr>
          <w:p>
            <w:pPr>
              <w:pStyle w:val="TableText"/>
            </w:pPr>
            <w:r>
              <w:rPr/>
              <w:t xml:space="preserve">Briefs and calendar</w:t>
            </w:r>
          </w:p>
        </w:tc>
        <w:tc>
          <w:tcPr>
            <w:tcW w:w="4680" w:type="dxa"/>
            <w:shd w:fill="F1F5F8"/>
          </w:tcPr>
          <w:p>
            <w:pPr>
              <w:pStyle w:val="TableText"/>
            </w:pPr>
            <w:r>
              <w:rPr/>
              <w:t xml:space="preserve"/>
            </w:r>
            <w:r>
              <w:rPr/>
              <w:t xml:space="preserve">Meeting context [../apps/web/utils/meeting-briefs/gather-context.ts]</w:t>
            </w:r>
            <w:r>
              <w:rPr/>
              <w:t xml:space="preserve">, </w:t>
            </w:r>
            <w:r>
              <w:rPr/>
              <w:t xml:space="preserve">calendar tools [../apps/web/utils/ai/assistant/chat-calendar-tools.ts]</w:t>
            </w:r>
            <w:r>
              <w:rPr/>
              <w:t xml:space="preserve">, </w:t>
            </w:r>
            <w:r>
              <w:rPr/>
              <w:t xml:space="preserve">briefing guide [essentials/meeting-briefs.mdx]</w:t>
            </w:r>
            <w:r>
              <w:rPr/>
              <w:t xml:space="preserve"/>
            </w:r>
          </w:p>
        </w:tc>
      </w:tr>
      <w:tr>
        <w:trPr/>
        <w:tc>
          <w:tcPr>
            <w:tcW w:w="4680" w:type="dxa"/>
            <w:shd w:fill="FFFFFF"/>
          </w:tcPr>
          <w:p>
            <w:pPr>
              <w:pStyle w:val="TableText"/>
            </w:pPr>
            <w:r>
              <w:rPr/>
              <w:t xml:space="preserve">Messaging</w:t>
            </w:r>
          </w:p>
        </w:tc>
        <w:tc>
          <w:tcPr>
            <w:tcW w:w="4680" w:type="dxa"/>
            <w:shd w:fill="FFFFFF"/>
          </w:tcPr>
          <w:p>
            <w:pPr>
              <w:pStyle w:val="TableText"/>
            </w:pPr>
            <w:r>
              <w:rPr/>
              <w:t xml:space="preserve"/>
            </w:r>
            <w:r>
              <w:rPr/>
              <w:t xml:space="preserve">Slack guide [essentials/slack-integration.mdx]</w:t>
            </w:r>
            <w:r>
              <w:rPr/>
              <w:t xml:space="preserve">, </w:t>
            </w:r>
            <w:r>
              <w:rPr/>
              <w:t xml:space="preserve">Telegram guide [essentials/telegram-integration.mdx]</w:t>
            </w:r>
            <w:r>
              <w:rPr/>
              <w:t xml:space="preserve">, </w:t>
            </w:r>
            <w:r>
              <w:rPr/>
              <w:t xml:space="preserve">Teams limits [teams/setup.mdx]</w:t>
            </w:r>
            <w:r>
              <w:rPr/>
              <w:t xml:space="preserve"/>
            </w:r>
          </w:p>
        </w:tc>
      </w:tr>
      <w:tr>
        <w:trPr/>
        <w:tc>
          <w:tcPr>
            <w:tcW w:w="4680" w:type="dxa"/>
            <w:shd w:fill="F1F5F8"/>
          </w:tcPr>
          <w:p>
            <w:pPr>
              <w:pStyle w:val="TableText"/>
            </w:pPr>
            <w:r>
              <w:rPr/>
              <w:t xml:space="preserve">Scheduled check-in scope</w:t>
            </w:r>
          </w:p>
        </w:tc>
        <w:tc>
          <w:tcPr>
            <w:tcW w:w="4680" w:type="dxa"/>
            <w:shd w:fill="F1F5F8"/>
          </w:tcPr>
          <w:p>
            <w:pPr>
              <w:pStyle w:val="TableText"/>
            </w:pPr>
            <w:r>
              <w:rPr/>
              <w:t xml:space="preserve"/>
            </w:r>
            <w:r>
              <w:rPr/>
              <w:t xml:space="preserve">Check-in generation [../apps/web/utils/ai/automation-jobs/generate-check-in-message.ts]</w:t>
            </w:r>
            <w:r>
              <w:rPr/>
              <w:t xml:space="preserve">, </w:t>
            </w:r>
            <w:r>
              <w:rPr/>
              <w:t xml:space="preserve">job execution [../apps/web/utils/automation-jobs/execute.ts]</w:t>
            </w:r>
            <w:r>
              <w:rPr/>
              <w:t xml:space="preserve"/>
            </w:r>
          </w:p>
        </w:tc>
      </w:tr>
      <w:tr>
        <w:trPr/>
        <w:tc>
          <w:tcPr>
            <w:tcW w:w="4680" w:type="dxa"/>
            <w:shd w:fill="FFFFFF"/>
          </w:tcPr>
          <w:p>
            <w:pPr>
              <w:pStyle w:val="TableText"/>
            </w:pPr>
            <w:r>
              <w:rPr/>
              <w:t xml:space="preserve">Organization capabilities</w:t>
            </w:r>
          </w:p>
        </w:tc>
        <w:tc>
          <w:tcPr>
            <w:tcW w:w="4680" w:type="dxa"/>
            <w:shd w:fill="FFFFFF"/>
          </w:tcPr>
          <w:p>
            <w:pPr>
              <w:pStyle w:val="TableText"/>
            </w:pPr>
            <w:r>
              <w:rPr/>
              <w:t xml:space="preserve"/>
            </w:r>
            <w:r>
              <w:rPr/>
              <w:t xml:space="preserve">Managed rules [../apps/web/utils/organizations/rules.ts]</w:t>
            </w:r>
            <w:r>
              <w:rPr/>
              <w:t xml:space="preserve">, organization stats page and component</w:t>
            </w:r>
          </w:p>
        </w:tc>
      </w:tr>
      <w:tr>
        <w:trPr/>
        <w:tc>
          <w:tcPr>
            <w:tcW w:w="4680" w:type="dxa"/>
            <w:shd w:fill="F1F5F8"/>
          </w:tcPr>
          <w:p>
            <w:pPr>
              <w:pStyle w:val="TableText"/>
            </w:pPr>
            <w:r>
              <w:rPr/>
              <w:t xml:space="preserve">Integration boundaries</w:t>
            </w:r>
          </w:p>
        </w:tc>
        <w:tc>
          <w:tcPr>
            <w:tcW w:w="4680" w:type="dxa"/>
            <w:shd w:fill="F1F5F8"/>
          </w:tcPr>
          <w:p>
            <w:pPr>
              <w:pStyle w:val="TableText"/>
            </w:pPr>
            <w:r>
              <w:rPr/>
              <w:t xml:space="preserve"/>
            </w:r>
            <w:r>
              <w:rPr/>
              <w:t xml:space="preserve">Webhook implementation [../apps/web/utils/webhook.ts]</w:t>
            </w:r>
            <w:r>
              <w:rPr/>
              <w:t xml:space="preserve">, </w:t>
            </w:r>
            <w:r>
              <w:rPr/>
              <w:t xml:space="preserve">payload guide [essentials/call-webhook.mdx]</w:t>
            </w:r>
            <w:r>
              <w:rPr/>
              <w:t xml:space="preserve">, </w:t>
            </w:r>
            <w:r>
              <w:rPr/>
              <w:t xml:space="preserve">chat feature gates [../apps/web/utils/ai/assistant/chat.ts]</w:t>
            </w:r>
            <w:r>
              <w:rPr/>
              <w:t xml:space="preserve"/>
            </w:r>
          </w:p>
        </w:tc>
      </w:tr>
      <w:tr>
        <w:trPr/>
        <w:tc>
          <w:tcPr>
            <w:tcW w:w="4680" w:type="dxa"/>
            <w:shd w:fill="FFFFFF"/>
          </w:tcPr>
          <w:p>
            <w:pPr>
              <w:pStyle w:val="TableText"/>
            </w:pPr>
            <w:r>
              <w:rPr/>
              <w:t xml:space="preserve">Hosting and cost</w:t>
            </w:r>
          </w:p>
        </w:tc>
        <w:tc>
          <w:tcPr>
            <w:tcW w:w="4680" w:type="dxa"/>
            <w:shd w:fill="FFFFFF"/>
          </w:tcPr>
          <w:p>
            <w:pPr>
              <w:pStyle w:val="TableText"/>
            </w:pPr>
            <w:r>
              <w:rPr/>
              <w:t xml:space="preserve"/>
            </w:r>
            <w:r>
              <w:rPr/>
              <w:t xml:space="preserve">LLM setup [hosting/llm-setup.mdx]</w:t>
            </w:r>
            <w:r>
              <w:rPr/>
              <w:t xml:space="preserve">, </w:t>
            </w:r>
            <w:r>
              <w:rPr/>
              <w:t xml:space="preserve">cost rationale [../COSTS.md]</w:t>
            </w:r>
            <w:r>
              <w:rPr/>
              <w:t xml:space="preserve">, </w:t>
            </w:r>
            <w:r>
              <w:rPr/>
              <w:t xml:space="preserve">branding configuration [../apps/web/utils/branding.ts]</w:t>
            </w:r>
            <w:r>
              <w:rPr/>
              <w:t xml:space="preserve"/>
            </w:r>
          </w:p>
        </w:tc>
      </w:tr>
    </w:tbl>
    <w:p>
      <w:pPr>
        <w:pStyle w:val="Normal"/>
      </w:pPr>
      <w:r>
        <w:rPr/>
        <w:t xml:space="preserve"/>
      </w:r>
    </w:p>
    <w:sectPr>
      <w:footerReference w:type="default" r:id="rIdFooter"/>
      <w:pgSz w:w="12240" w:h="15840"/>
      <w:pgMar w:top="1080" w:right="1440" w:bottom="1080" w:left="1440" w:header="480" w:footer="480"/>
    </w:sectPr>
  </w:body>
</w:document>
</file>

<file path=word/footer1.xml><?xml version="1.0" encoding="utf-8"?>
<w:ftr xmlns:w="http://schemas.openxmlformats.org/wordprocessingml/2006/main">
  <w:p>
    <w:pPr>
      <w:jc w:val="right"/>
    </w:pPr>
    <w:r>
      <w:rPr>
        <w:color w:val="627789"/>
      </w:rPr>
      <w:t xml:space="preserve">Zynbox | Sales assessment | </w:t>
    </w:r>
    <w:fldSimple w:instr="PAGE"/>
  </w:p>
</w:ftr>
</file>

<file path=word/styles.xml><?xml version="1.0" encoding="utf-8"?>
<w:styles xmlns:w="http://schemas.openxmlformats.org/wordprocessingml/2006/main">
  <w:docDefaults>
    <w:rPrDefault>
      <w:rPr>
        <w:rFonts w:ascii="Calibri" w:hAnsi="Calibri"/>
        <w:sz w:val="22"/>
        <w:color w:val="243746"/>
      </w:rPr>
    </w:rPrDefault>
    <w:pPrDefault>
      <w:pPr>
        <w:spacing w:after="140" w:line="270" w:lineRule="auto"/>
        <w:widowControl/>
      </w:pPr>
    </w:pPrDefault>
  </w:docDefaults>
  <w:style w:type="paragraph" w:default="1" w:styleId="Normal">
    <w:name w:val="Normal"/>
  </w:style>
  <w:style w:type="paragraph" w:styleId="Title">
    <w:name w:val="Title"/>
    <w:basedOn w:val="Normal"/>
    <w:pPr>
      <w:keepNext/>
      <w:spacing w:before="200" w:after="200"/>
    </w:pPr>
    <w:rPr>
      <w:b/>
      <w:sz w:val="56"/>
      <w:color w:val="17354A"/>
    </w:rPr>
  </w:style>
  <w:style w:type="paragraph" w:styleId="Subtitle">
    <w:name w:val="Subtitle"/>
    <w:basedOn w:val="Normal"/>
    <w:pPr>
      <w:keepNext/>
    </w:pPr>
    <w:rPr>
      <w:sz w:val="28"/>
      <w:color w:val="176B87"/>
    </w:rPr>
  </w:style>
  <w:style w:type="paragraph" w:styleId="Heading1">
    <w:name w:val="heading 1"/>
    <w:basedOn w:val="Normal"/>
    <w:pPr>
      <w:keepNext/>
      <w:keepLines/>
      <w:outlineLvl w:val="0"/>
      <w:spacing w:before="320" w:after="140"/>
    </w:pPr>
    <w:rPr>
      <w:b/>
      <w:sz w:val="32"/>
      <w:color w:val="17354A"/>
    </w:rPr>
  </w:style>
  <w:style w:type="paragraph" w:styleId="Heading2">
    <w:name w:val="heading 2"/>
    <w:basedOn w:val="Normal"/>
    <w:pPr>
      <w:keepNext/>
      <w:keepLines/>
      <w:outlineLvl w:val="1"/>
      <w:spacing w:before="240" w:after="120"/>
    </w:pPr>
    <w:rPr>
      <w:b/>
      <w:sz w:val="26"/>
      <w:color w:val="176B87"/>
    </w:rPr>
  </w:style>
  <w:style w:type="paragraph" w:styleId="Quote">
    <w:name w:val="Quote"/>
    <w:basedOn w:val="Normal"/>
    <w:pPr>
      <w:ind w:left="240" w:right="240"/>
      <w:spacing w:before="140" w:after="180"/>
      <w:shd w:fill="EDF5F7"/>
    </w:pPr>
    <w:rPr>
      <w:i/>
      <w:color w:val="176B87"/>
    </w:rPr>
  </w:style>
  <w:style w:type="paragraph" w:styleId="ListParagraph">
    <w:name w:val="List Paragraph"/>
    <w:basedOn w:val="Normal"/>
    <w:pPr>
      <w:ind w:left="240" w:hanging="200"/>
    </w:pPr>
  </w:style>
  <w:style w:type="paragraph" w:styleId="TableText">
    <w:name w:val="Table Text"/>
    <w:basedOn w:val="Normal"/>
    <w:pPr>
      <w:spacing w:after="70" w:line="240" w:lineRule="auto"/>
    </w:pPr>
    <w:rPr>
      <w:sz w:val="19"/>
    </w:r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Link1" Type="http://schemas.openxmlformats.org/officeDocument/2006/relationships/hyperlink" Target="https://support.microsoft.com/en-us/outlook/create-and-view-outlook-rules-with-microsoft-365-copilot" TargetMode="External"/><Relationship Id="rIdLink2" Type="http://schemas.openxmlformats.org/officeDocument/2006/relationships/hyperlink" Target="https://support.microsoft.com/en-us/outlook/copilot-outlook/prioritize-my-inbox" TargetMode="External"/><Relationship Id="rIdLink3" Type="http://schemas.openxmlformats.org/officeDocument/2006/relationships/hyperlink" Target="https://learn.microsoft.com/en-us/microsoft-365/copilot/cowork/use-cowork" TargetMode="External"/><Relationship Id="rIdLink4" Type="http://schemas.openxmlformats.org/officeDocument/2006/relationships/hyperlink" Target="https://blog.google/products-and-platforms/products/gmail/gmail-is-entering-the-gemini-era/" TargetMode="External"/><Relationship Id="rIdLink5" Type="http://schemas.openxmlformats.org/officeDocument/2006/relationships/hyperlink" Target="https://support.google.com/workspace-studio/answer/16444479?hl=en" TargetMode="External"/><Relationship Id="rIdLink6" Type="http://schemas.openxmlformats.org/officeDocument/2006/relationships/hyperlink" Target="https://support.google.com/workspace-studio/answer/16448469?hl=en" TargetMode="External"/><Relationship Id="rIdLink7" Type="http://schemas.openxmlformats.org/officeDocument/2006/relationships/hyperlink" Target="https://support.claude.com/en/articles/13854387-schedule-recurring-tasks-in-claude-cowork" TargetMode="External"/></Relationships>
</file>