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7435"/>
      </w:tblGrid>
      <w:tr w:rsidR="00C57074" w:rsidRPr="00C57074" w14:paraId="2BCE4576" w14:textId="77777777" w:rsidTr="005E3C10">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14:paraId="53DEF79E" w14:textId="562DBECB" w:rsidR="00C57074" w:rsidRPr="00C57074" w:rsidRDefault="00C57074" w:rsidP="004E00B0">
            <w:pPr>
              <w:widowControl w:val="0"/>
              <w:pBdr>
                <w:top w:val="nil"/>
                <w:left w:val="nil"/>
                <w:bottom w:val="nil"/>
                <w:right w:val="nil"/>
                <w:between w:val="nil"/>
              </w:pBdr>
              <w:spacing w:after="0" w:line="240" w:lineRule="auto"/>
              <w:jc w:val="center"/>
              <w:rPr>
                <w:rFonts w:ascii="Arial" w:eastAsia="Arial" w:hAnsi="Arial" w:cs="Arial"/>
                <w:b/>
                <w:color w:val="000000"/>
                <w:sz w:val="28"/>
                <w:szCs w:val="28"/>
                <w:lang w:eastAsia="en-CA"/>
              </w:rPr>
            </w:pPr>
            <w:r>
              <w:rPr>
                <w:rFonts w:ascii="Arial" w:eastAsia="Arial" w:hAnsi="Arial" w:cs="Arial"/>
                <w:b/>
                <w:color w:val="000000"/>
                <w:sz w:val="28"/>
                <w:szCs w:val="28"/>
                <w:lang w:eastAsia="en-CA"/>
              </w:rPr>
              <w:t>BUSINESS CASE</w:t>
            </w:r>
          </w:p>
        </w:tc>
      </w:tr>
      <w:tr w:rsidR="00C57074" w:rsidRPr="00C57074" w14:paraId="570CA782" w14:textId="77777777" w:rsidTr="00AB6ADE">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14:paraId="234B8A46"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14:paraId="24046112" w14:textId="3053A278" w:rsidR="00C57074" w:rsidRPr="00C57074" w:rsidRDefault="004F742E" w:rsidP="004E00B0">
            <w:pPr>
              <w:widowControl w:val="0"/>
              <w:pBdr>
                <w:top w:val="nil"/>
                <w:left w:val="nil"/>
                <w:bottom w:val="nil"/>
                <w:right w:val="nil"/>
                <w:between w:val="nil"/>
              </w:pBdr>
              <w:spacing w:after="0" w:line="240" w:lineRule="auto"/>
              <w:rPr>
                <w:rFonts w:ascii="Arial" w:eastAsia="Arial" w:hAnsi="Arial" w:cs="Arial"/>
                <w:color w:val="000000"/>
                <w:lang w:eastAsia="en-CA"/>
              </w:rPr>
            </w:pPr>
            <w:proofErr w:type="spellStart"/>
            <w:r>
              <w:rPr>
                <w:rFonts w:ascii="Arial" w:eastAsia="Arial" w:hAnsi="Arial" w:cs="Arial"/>
                <w:color w:val="000000"/>
                <w:lang w:eastAsia="en-CA"/>
              </w:rPr>
              <w:t>EduTrack</w:t>
            </w:r>
            <w:proofErr w:type="spellEnd"/>
          </w:p>
        </w:tc>
      </w:tr>
      <w:tr w:rsidR="00C57074" w:rsidRPr="00C57074" w14:paraId="3AF656D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B831A5E"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Date Produced</w:t>
            </w:r>
          </w:p>
        </w:tc>
        <w:tc>
          <w:tcPr>
            <w:tcW w:w="7435" w:type="dxa"/>
            <w:tcBorders>
              <w:left w:val="nil"/>
            </w:tcBorders>
            <w:shd w:val="clear" w:color="auto" w:fill="FFFFFF"/>
            <w:tcMar>
              <w:top w:w="100" w:type="dxa"/>
              <w:left w:w="100" w:type="dxa"/>
              <w:bottom w:w="100" w:type="dxa"/>
              <w:right w:w="100" w:type="dxa"/>
            </w:tcMar>
          </w:tcPr>
          <w:p w14:paraId="0F975075" w14:textId="5B3FAB31" w:rsidR="00C57074" w:rsidRPr="00C57074" w:rsidRDefault="00C52041"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 xml:space="preserve">Thursday </w:t>
            </w:r>
            <w:r w:rsidR="00E96D18">
              <w:rPr>
                <w:rFonts w:ascii="Arial" w:eastAsia="Arial" w:hAnsi="Arial" w:cs="Arial"/>
                <w:color w:val="000000"/>
                <w:lang w:eastAsia="en-CA"/>
              </w:rPr>
              <w:t>Oct</w:t>
            </w:r>
            <w:r>
              <w:rPr>
                <w:rFonts w:ascii="Arial" w:eastAsia="Arial" w:hAnsi="Arial" w:cs="Arial"/>
                <w:color w:val="000000"/>
                <w:lang w:eastAsia="en-CA"/>
              </w:rPr>
              <w:t xml:space="preserve">. </w:t>
            </w:r>
            <w:r w:rsidR="00E96D18">
              <w:rPr>
                <w:rFonts w:ascii="Arial" w:eastAsia="Arial" w:hAnsi="Arial" w:cs="Arial"/>
                <w:color w:val="000000"/>
                <w:lang w:eastAsia="en-CA"/>
              </w:rPr>
              <w:t>3</w:t>
            </w:r>
            <w:r w:rsidR="00F1078F">
              <w:rPr>
                <w:rFonts w:ascii="Arial" w:eastAsia="Arial" w:hAnsi="Arial" w:cs="Arial"/>
                <w:color w:val="000000"/>
                <w:lang w:eastAsia="en-CA"/>
              </w:rPr>
              <w:t>1</w:t>
            </w:r>
            <w:r>
              <w:rPr>
                <w:rFonts w:ascii="Arial" w:eastAsia="Arial" w:hAnsi="Arial" w:cs="Arial"/>
                <w:color w:val="000000"/>
                <w:lang w:eastAsia="en-CA"/>
              </w:rPr>
              <w:t>, 2</w:t>
            </w:r>
            <w:r w:rsidR="00F1078F">
              <w:rPr>
                <w:rFonts w:ascii="Arial" w:eastAsia="Arial" w:hAnsi="Arial" w:cs="Arial"/>
                <w:color w:val="000000"/>
                <w:lang w:eastAsia="en-CA"/>
              </w:rPr>
              <w:t>4</w:t>
            </w:r>
          </w:p>
        </w:tc>
      </w:tr>
      <w:tr w:rsidR="00C57074" w:rsidRPr="00C57074" w14:paraId="2A733CE8"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176E7B1B"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Background</w:t>
            </w:r>
          </w:p>
        </w:tc>
        <w:tc>
          <w:tcPr>
            <w:tcW w:w="7435" w:type="dxa"/>
            <w:tcBorders>
              <w:left w:val="nil"/>
            </w:tcBorders>
            <w:shd w:val="clear" w:color="auto" w:fill="FFFFFF"/>
            <w:tcMar>
              <w:top w:w="100" w:type="dxa"/>
              <w:left w:w="100" w:type="dxa"/>
              <w:bottom w:w="100" w:type="dxa"/>
              <w:right w:w="100" w:type="dxa"/>
            </w:tcMar>
          </w:tcPr>
          <w:p w14:paraId="04757E19" w14:textId="0B0D04E7" w:rsidR="00C57074" w:rsidRPr="00C57074" w:rsidRDefault="00C27CE0"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C27CE0">
              <w:rPr>
                <w:rFonts w:ascii="Arial" w:eastAsia="Arial" w:hAnsi="Arial" w:cs="Arial"/>
                <w:color w:val="000000"/>
                <w:lang w:eastAsia="en-CA"/>
              </w:rPr>
              <w:t xml:space="preserve">A good approach for a successful project is to pass through multiple stages, like initiating, planning, executing, and closing. The initiating phase requires some steps, including problem definition. Given the significant challenges that college students face, leading to academic failure, a </w:t>
            </w:r>
            <w:proofErr w:type="spellStart"/>
            <w:r w:rsidR="00F1078F">
              <w:rPr>
                <w:rFonts w:ascii="Arial" w:eastAsia="Arial" w:hAnsi="Arial" w:cs="Arial"/>
                <w:color w:val="000000"/>
                <w:lang w:eastAsia="en-CA"/>
              </w:rPr>
              <w:t>EduTrack</w:t>
            </w:r>
            <w:proofErr w:type="spellEnd"/>
            <w:r w:rsidR="00AB0FFE">
              <w:rPr>
                <w:rFonts w:ascii="Arial" w:eastAsia="Arial" w:hAnsi="Arial" w:cs="Arial"/>
                <w:color w:val="000000"/>
                <w:lang w:eastAsia="en-CA"/>
              </w:rPr>
              <w:t xml:space="preserve"> </w:t>
            </w:r>
            <w:r w:rsidRPr="00C27CE0">
              <w:rPr>
                <w:rFonts w:ascii="Arial" w:eastAsia="Arial" w:hAnsi="Arial" w:cs="Arial"/>
                <w:color w:val="000000"/>
                <w:lang w:eastAsia="en-CA"/>
              </w:rPr>
              <w:t>could serve as an effective solution. The statistics strongly support the positive impact of planning tools on academic success.</w:t>
            </w:r>
          </w:p>
        </w:tc>
      </w:tr>
      <w:tr w:rsidR="00C57074" w:rsidRPr="00C57074" w14:paraId="3FC43A27"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21F4501F"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14:paraId="513996D2" w14:textId="2C584AD9" w:rsidR="00C57074" w:rsidRDefault="00AF4F85"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sidRPr="00AF4F85">
              <w:rPr>
                <w:rFonts w:ascii="Arial" w:eastAsia="Arial" w:hAnsi="Arial" w:cs="Arial"/>
                <w:color w:val="000000"/>
                <w:lang w:eastAsia="en-CA"/>
              </w:rPr>
              <w:t xml:space="preserve">This project is design and development centered of a web-based application for a personalized academic planner. The </w:t>
            </w:r>
            <w:proofErr w:type="spellStart"/>
            <w:r w:rsidR="007D1955">
              <w:rPr>
                <w:rFonts w:ascii="Arial" w:eastAsia="Arial" w:hAnsi="Arial" w:cs="Arial"/>
                <w:color w:val="000000"/>
                <w:lang w:eastAsia="en-CA"/>
              </w:rPr>
              <w:t>EduTrack</w:t>
            </w:r>
            <w:proofErr w:type="spellEnd"/>
            <w:r w:rsidR="007D1955" w:rsidRPr="00AF4F85">
              <w:rPr>
                <w:rFonts w:ascii="Arial" w:eastAsia="Arial" w:hAnsi="Arial" w:cs="Arial"/>
                <w:color w:val="000000"/>
                <w:lang w:eastAsia="en-CA"/>
              </w:rPr>
              <w:t xml:space="preserve"> </w:t>
            </w:r>
            <w:r w:rsidRPr="00AF4F85">
              <w:rPr>
                <w:rFonts w:ascii="Arial" w:eastAsia="Arial" w:hAnsi="Arial" w:cs="Arial"/>
                <w:color w:val="000000"/>
                <w:lang w:eastAsia="en-CA"/>
              </w:rPr>
              <w:t>is designed to assisting college students in enhancing their time management abilities, lowering stress related to the workload of their courses, and improving their study habits so they earn higher grades. The motivation behind this project stems from the requirement for a more effective academic planner to aid college students in managing their courses, where ineffective time management impacts negatively in their failure.</w:t>
            </w:r>
          </w:p>
          <w:p w14:paraId="563F79A9"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Reasons for Academic Failure in College Students</w:t>
            </w:r>
          </w:p>
          <w:p w14:paraId="4A6AE599" w14:textId="60F9D0A3" w:rsidR="00AB3942" w:rsidRPr="00B22C23" w:rsidRDefault="00DA7E8C" w:rsidP="00B22C23">
            <w:pPr>
              <w:pStyle w:val="ListParagraph"/>
              <w:numPr>
                <w:ilvl w:val="0"/>
                <w:numId w:val="4"/>
              </w:numPr>
              <w:rPr>
                <w:rFonts w:ascii="Times New Roman" w:hAnsi="Times New Roman" w:cs="Times New Roman"/>
                <w:sz w:val="24"/>
                <w:szCs w:val="24"/>
              </w:rPr>
            </w:pPr>
            <w:r w:rsidRPr="00B22C23">
              <w:rPr>
                <w:rFonts w:ascii="Arial" w:eastAsia="Arial" w:hAnsi="Arial" w:cs="Arial"/>
                <w:b/>
                <w:bCs/>
                <w:color w:val="000000"/>
                <w:lang w:eastAsia="en-CA"/>
              </w:rPr>
              <w:t>Lack of Time Management</w:t>
            </w:r>
            <w:r w:rsidRPr="00B22C23">
              <w:rPr>
                <w:rFonts w:ascii="Arial" w:eastAsia="Arial" w:hAnsi="Arial" w:cs="Arial"/>
                <w:color w:val="000000"/>
                <w:lang w:eastAsia="en-CA"/>
              </w:rPr>
              <w:t>: According to a study by the University of Minnesota, 87% of students face difficulties in managing their time effectively, leading to academic failure.</w:t>
            </w:r>
            <w:r w:rsidR="00AB3942" w:rsidRPr="00B22C23">
              <w:rPr>
                <w:rFonts w:ascii="Arial" w:eastAsia="Arial" w:hAnsi="Arial" w:cs="Arial"/>
                <w:color w:val="000000"/>
                <w:lang w:eastAsia="en-CA"/>
              </w:rPr>
              <w:br/>
            </w:r>
            <w:r w:rsidR="00AB3942" w:rsidRPr="00860C85">
              <w:rPr>
                <w:rFonts w:ascii="Times New Roman" w:hAnsi="Times New Roman" w:cs="Times New Roman"/>
                <w:b/>
                <w:bCs/>
                <w:sz w:val="24"/>
                <w:szCs w:val="24"/>
              </w:rPr>
              <w:t>Resources:</w:t>
            </w:r>
          </w:p>
          <w:p w14:paraId="01F6E937" w14:textId="77777777" w:rsidR="00AB3942" w:rsidRDefault="00AB3942" w:rsidP="00AB3942">
            <w:pPr>
              <w:pStyle w:val="ListParagraph"/>
              <w:numPr>
                <w:ilvl w:val="2"/>
                <w:numId w:val="4"/>
              </w:numPr>
              <w:tabs>
                <w:tab w:val="clear" w:pos="2160"/>
              </w:tabs>
              <w:ind w:left="1418"/>
              <w:rPr>
                <w:rFonts w:ascii="Times New Roman" w:hAnsi="Times New Roman" w:cs="Times New Roman"/>
                <w:sz w:val="24"/>
                <w:szCs w:val="24"/>
              </w:rPr>
            </w:pPr>
            <w:r w:rsidRPr="0072162F">
              <w:rPr>
                <w:rFonts w:ascii="Times New Roman" w:hAnsi="Times New Roman" w:cs="Times New Roman"/>
                <w:sz w:val="24"/>
                <w:szCs w:val="24"/>
                <w:lang w:val="en-US"/>
              </w:rPr>
              <w:t>University of Minnesota Learning and Academic Skills Center</w:t>
            </w:r>
            <w:r>
              <w:rPr>
                <w:rFonts w:ascii="Times New Roman" w:hAnsi="Times New Roman" w:cs="Times New Roman"/>
                <w:sz w:val="24"/>
                <w:szCs w:val="24"/>
                <w:lang w:val="en-US"/>
              </w:rPr>
              <w:t xml:space="preserve">. </w:t>
            </w:r>
            <w:r w:rsidRPr="000E4508">
              <w:rPr>
                <w:rFonts w:ascii="Times New Roman" w:hAnsi="Times New Roman" w:cs="Times New Roman"/>
                <w:sz w:val="24"/>
                <w:szCs w:val="24"/>
                <w:lang w:val="en-US"/>
              </w:rPr>
              <w:t>Time Management Resources</w:t>
            </w:r>
            <w:r>
              <w:rPr>
                <w:rFonts w:ascii="Times New Roman" w:hAnsi="Times New Roman" w:cs="Times New Roman"/>
                <w:sz w:val="24"/>
                <w:szCs w:val="24"/>
                <w:lang w:val="en-US"/>
              </w:rPr>
              <w:t xml:space="preserve">: </w:t>
            </w:r>
            <w:hyperlink r:id="rId7" w:history="1">
              <w:r w:rsidRPr="002C589F">
                <w:rPr>
                  <w:rStyle w:val="Hyperlink"/>
                  <w:rFonts w:ascii="Times New Roman" w:hAnsi="Times New Roman" w:cs="Times New Roman"/>
                  <w:sz w:val="24"/>
                  <w:szCs w:val="24"/>
                </w:rPr>
                <w:t>https://effectiveu.umn.edu/time/management</w:t>
              </w:r>
            </w:hyperlink>
          </w:p>
          <w:p w14:paraId="5C2B2BAC" w14:textId="785D9328" w:rsidR="00DA7E8C" w:rsidRPr="00DA7E8C" w:rsidRDefault="00AB3942" w:rsidP="00A51267">
            <w:pPr>
              <w:widowControl w:val="0"/>
              <w:numPr>
                <w:ilvl w:val="1"/>
                <w:numId w:val="4"/>
              </w:numPr>
              <w:pBdr>
                <w:top w:val="nil"/>
                <w:left w:val="nil"/>
                <w:bottom w:val="nil"/>
                <w:right w:val="nil"/>
                <w:between w:val="nil"/>
              </w:pBdr>
              <w:spacing w:after="0" w:line="240" w:lineRule="auto"/>
              <w:rPr>
                <w:rFonts w:ascii="Arial" w:eastAsia="Arial" w:hAnsi="Arial" w:cs="Arial"/>
                <w:color w:val="000000"/>
                <w:lang w:eastAsia="en-CA"/>
              </w:rPr>
            </w:pPr>
            <w:r w:rsidRPr="00375B32">
              <w:rPr>
                <w:rFonts w:ascii="Times New Roman" w:hAnsi="Times New Roman" w:cs="Times New Roman"/>
                <w:sz w:val="24"/>
                <w:szCs w:val="24"/>
                <w:lang w:val="en-US"/>
              </w:rPr>
              <w:t xml:space="preserve">Britton, B. K., &amp; </w:t>
            </w:r>
            <w:proofErr w:type="spellStart"/>
            <w:r w:rsidRPr="00375B32">
              <w:rPr>
                <w:rFonts w:ascii="Times New Roman" w:hAnsi="Times New Roman" w:cs="Times New Roman"/>
                <w:sz w:val="24"/>
                <w:szCs w:val="24"/>
                <w:lang w:val="en-US"/>
              </w:rPr>
              <w:t>Tesser</w:t>
            </w:r>
            <w:proofErr w:type="spellEnd"/>
            <w:r w:rsidRPr="00375B32">
              <w:rPr>
                <w:rFonts w:ascii="Times New Roman" w:hAnsi="Times New Roman" w:cs="Times New Roman"/>
                <w:sz w:val="24"/>
                <w:szCs w:val="24"/>
                <w:lang w:val="en-US"/>
              </w:rPr>
              <w:t>, A. (1991)</w:t>
            </w:r>
            <w:r>
              <w:rPr>
                <w:rFonts w:ascii="Times New Roman" w:hAnsi="Times New Roman" w:cs="Times New Roman"/>
                <w:sz w:val="24"/>
                <w:szCs w:val="24"/>
                <w:lang w:val="en-US"/>
              </w:rPr>
              <w:t xml:space="preserve">. </w:t>
            </w:r>
            <w:r w:rsidRPr="00EA42FD">
              <w:rPr>
                <w:rFonts w:ascii="Times New Roman" w:hAnsi="Times New Roman" w:cs="Times New Roman"/>
                <w:sz w:val="24"/>
                <w:szCs w:val="24"/>
                <w:lang w:val="en-US"/>
              </w:rPr>
              <w:t>"Effects of time-management practices on college grades."</w:t>
            </w:r>
            <w:r>
              <w:rPr>
                <w:rFonts w:ascii="Times New Roman" w:hAnsi="Times New Roman" w:cs="Times New Roman"/>
                <w:sz w:val="24"/>
                <w:szCs w:val="24"/>
                <w:lang w:val="en-US"/>
              </w:rPr>
              <w:t xml:space="preserve"> </w:t>
            </w:r>
            <w:r w:rsidRPr="00096AA2">
              <w:rPr>
                <w:rFonts w:ascii="Times New Roman" w:hAnsi="Times New Roman" w:cs="Times New Roman"/>
                <w:sz w:val="24"/>
                <w:szCs w:val="24"/>
                <w:lang w:val="en-US"/>
              </w:rPr>
              <w:t xml:space="preserve">Journal of Educational Psychology, 83(3), 405–410. </w:t>
            </w:r>
            <w:hyperlink r:id="rId8" w:history="1">
              <w:r w:rsidRPr="002C589F">
                <w:rPr>
                  <w:rStyle w:val="Hyperlink"/>
                  <w:rFonts w:ascii="Times New Roman" w:hAnsi="Times New Roman" w:cs="Times New Roman"/>
                  <w:sz w:val="24"/>
                  <w:szCs w:val="24"/>
                  <w:lang w:val="en-US"/>
                </w:rPr>
                <w:t>https://doi.org/10.1037/0022-0663.83.3.405</w:t>
              </w:r>
            </w:hyperlink>
          </w:p>
          <w:p w14:paraId="12283798" w14:textId="6385132C" w:rsidR="00B22C23" w:rsidRPr="00B22C23" w:rsidRDefault="00DA7E8C" w:rsidP="00B22C23">
            <w:pPr>
              <w:pStyle w:val="ListParagraph"/>
              <w:numPr>
                <w:ilvl w:val="0"/>
                <w:numId w:val="4"/>
              </w:numPr>
              <w:rPr>
                <w:rFonts w:ascii="Times New Roman" w:hAnsi="Times New Roman" w:cs="Times New Roman"/>
                <w:sz w:val="24"/>
                <w:szCs w:val="24"/>
              </w:rPr>
            </w:pPr>
            <w:r w:rsidRPr="00B22C23">
              <w:rPr>
                <w:rFonts w:ascii="Arial" w:eastAsia="Arial" w:hAnsi="Arial" w:cs="Arial"/>
                <w:b/>
                <w:bCs/>
                <w:color w:val="000000"/>
                <w:lang w:eastAsia="en-CA"/>
              </w:rPr>
              <w:t>Poor Study Habits</w:t>
            </w:r>
            <w:r w:rsidRPr="00B22C23">
              <w:rPr>
                <w:rFonts w:ascii="Arial" w:eastAsia="Arial" w:hAnsi="Arial" w:cs="Arial"/>
                <w:color w:val="000000"/>
                <w:lang w:eastAsia="en-CA"/>
              </w:rPr>
              <w:t>: A survey by Cengage Learning found that 47% of college students struggle with ineffective study methods, impacting their academic performance.</w:t>
            </w:r>
            <w:r w:rsidR="00E058F9" w:rsidRPr="00B22C23">
              <w:rPr>
                <w:rFonts w:ascii="Arial" w:eastAsia="Arial" w:hAnsi="Arial" w:cs="Arial"/>
                <w:color w:val="000000"/>
                <w:lang w:eastAsia="en-CA"/>
              </w:rPr>
              <w:br/>
            </w:r>
            <w:r w:rsidR="00B22C23" w:rsidRPr="00860C85">
              <w:rPr>
                <w:rFonts w:ascii="Times New Roman" w:hAnsi="Times New Roman" w:cs="Times New Roman"/>
                <w:b/>
                <w:bCs/>
                <w:sz w:val="24"/>
                <w:szCs w:val="24"/>
              </w:rPr>
              <w:t>Resources:</w:t>
            </w:r>
          </w:p>
          <w:p w14:paraId="2BE96BF5" w14:textId="77777777" w:rsidR="00B22C23" w:rsidRPr="002B4FE5" w:rsidRDefault="00B22C23" w:rsidP="00B22C23">
            <w:pPr>
              <w:pStyle w:val="ListParagraph"/>
              <w:numPr>
                <w:ilvl w:val="0"/>
                <w:numId w:val="8"/>
              </w:numPr>
              <w:rPr>
                <w:rFonts w:ascii="Times New Roman" w:hAnsi="Times New Roman" w:cs="Times New Roman"/>
                <w:sz w:val="24"/>
                <w:szCs w:val="24"/>
              </w:rPr>
            </w:pPr>
            <w:r w:rsidRPr="002B4FE5">
              <w:rPr>
                <w:rFonts w:ascii="Times New Roman" w:hAnsi="Times New Roman" w:cs="Times New Roman"/>
                <w:sz w:val="24"/>
                <w:szCs w:val="24"/>
                <w:lang w:val="en-US"/>
              </w:rPr>
              <w:t>Cengage Student Success Resources</w:t>
            </w:r>
            <w:r>
              <w:rPr>
                <w:rFonts w:ascii="Times New Roman" w:hAnsi="Times New Roman" w:cs="Times New Roman"/>
                <w:sz w:val="24"/>
                <w:szCs w:val="24"/>
                <w:lang w:val="en-US"/>
              </w:rPr>
              <w:t xml:space="preserve">: </w:t>
            </w:r>
            <w:hyperlink r:id="rId9" w:history="1">
              <w:r w:rsidRPr="002C589F">
                <w:rPr>
                  <w:rStyle w:val="Hyperlink"/>
                  <w:rFonts w:ascii="Times New Roman" w:hAnsi="Times New Roman" w:cs="Times New Roman"/>
                  <w:sz w:val="24"/>
                  <w:szCs w:val="24"/>
                  <w:lang w:val="en-US"/>
                </w:rPr>
                <w:t>https://www.cengage.com/student-success/</w:t>
              </w:r>
            </w:hyperlink>
          </w:p>
          <w:p w14:paraId="7F37592C" w14:textId="24B1D575" w:rsidR="00DA7E8C" w:rsidRPr="00B22C23" w:rsidRDefault="00B22C23" w:rsidP="00B22C23">
            <w:pPr>
              <w:pStyle w:val="ListParagraph"/>
              <w:numPr>
                <w:ilvl w:val="0"/>
                <w:numId w:val="8"/>
              </w:numPr>
              <w:rPr>
                <w:rFonts w:ascii="Times New Roman" w:hAnsi="Times New Roman" w:cs="Times New Roman"/>
                <w:sz w:val="24"/>
                <w:szCs w:val="24"/>
                <w:lang w:val="fr-CA"/>
              </w:rPr>
            </w:pPr>
            <w:proofErr w:type="spellStart"/>
            <w:r w:rsidRPr="005262DC">
              <w:rPr>
                <w:rFonts w:ascii="Times New Roman" w:hAnsi="Times New Roman" w:cs="Times New Roman"/>
                <w:sz w:val="24"/>
                <w:szCs w:val="24"/>
              </w:rPr>
              <w:t>Credé</w:t>
            </w:r>
            <w:proofErr w:type="spellEnd"/>
            <w:r w:rsidRPr="005262DC">
              <w:rPr>
                <w:rFonts w:ascii="Times New Roman" w:hAnsi="Times New Roman" w:cs="Times New Roman"/>
                <w:sz w:val="24"/>
                <w:szCs w:val="24"/>
              </w:rPr>
              <w:t xml:space="preserve">, M., &amp; </w:t>
            </w:r>
            <w:proofErr w:type="spellStart"/>
            <w:r w:rsidRPr="005262DC">
              <w:rPr>
                <w:rFonts w:ascii="Times New Roman" w:hAnsi="Times New Roman" w:cs="Times New Roman"/>
                <w:sz w:val="24"/>
                <w:szCs w:val="24"/>
              </w:rPr>
              <w:t>Kuncel</w:t>
            </w:r>
            <w:proofErr w:type="spellEnd"/>
            <w:r w:rsidRPr="005262DC">
              <w:rPr>
                <w:rFonts w:ascii="Times New Roman" w:hAnsi="Times New Roman" w:cs="Times New Roman"/>
                <w:sz w:val="24"/>
                <w:szCs w:val="24"/>
              </w:rPr>
              <w:t xml:space="preserve">, N. R. (2008). </w:t>
            </w:r>
            <w:r w:rsidRPr="005262DC">
              <w:rPr>
                <w:rFonts w:ascii="Times New Roman" w:hAnsi="Times New Roman" w:cs="Times New Roman"/>
                <w:sz w:val="24"/>
                <w:szCs w:val="24"/>
                <w:lang w:val="en-US"/>
              </w:rPr>
              <w:t>"Study habits, skills, and attitudes: The third pillar supporting collegiate academic performance."</w:t>
            </w:r>
            <w:r>
              <w:rPr>
                <w:rFonts w:ascii="Times New Roman" w:hAnsi="Times New Roman" w:cs="Times New Roman"/>
                <w:sz w:val="24"/>
                <w:szCs w:val="24"/>
                <w:lang w:val="en-US"/>
              </w:rPr>
              <w:t xml:space="preserve"> </w:t>
            </w:r>
            <w:r w:rsidRPr="005262DC">
              <w:rPr>
                <w:rFonts w:ascii="Times New Roman" w:hAnsi="Times New Roman" w:cs="Times New Roman"/>
                <w:sz w:val="24"/>
                <w:szCs w:val="24"/>
              </w:rPr>
              <w:t xml:space="preserve">Perspectives on Psychological </w:t>
            </w:r>
            <w:r w:rsidRPr="005262DC">
              <w:rPr>
                <w:rFonts w:ascii="Times New Roman" w:hAnsi="Times New Roman" w:cs="Times New Roman"/>
                <w:sz w:val="24"/>
                <w:szCs w:val="24"/>
              </w:rPr>
              <w:lastRenderedPageBreak/>
              <w:t xml:space="preserve">Science, 3(6), 425–453. </w:t>
            </w:r>
            <w:hyperlink r:id="rId10" w:history="1">
              <w:r w:rsidRPr="002C589F">
                <w:rPr>
                  <w:rStyle w:val="Hyperlink"/>
                  <w:rFonts w:ascii="Times New Roman" w:hAnsi="Times New Roman" w:cs="Times New Roman"/>
                  <w:sz w:val="24"/>
                  <w:szCs w:val="24"/>
                  <w:lang w:val="fr-CA"/>
                </w:rPr>
                <w:t>https://doi.org/10.1111/j.1745-6924.2008.00089.x</w:t>
              </w:r>
            </w:hyperlink>
            <w:r>
              <w:rPr>
                <w:rFonts w:ascii="Times New Roman" w:hAnsi="Times New Roman" w:cs="Times New Roman"/>
                <w:sz w:val="24"/>
                <w:szCs w:val="24"/>
                <w:lang w:val="fr-CA"/>
              </w:rPr>
              <w:t xml:space="preserve"> </w:t>
            </w:r>
          </w:p>
          <w:p w14:paraId="1B60A038" w14:textId="5D433FBF" w:rsidR="004375FE" w:rsidRPr="004375FE" w:rsidRDefault="00DA7E8C" w:rsidP="004375FE">
            <w:pPr>
              <w:pStyle w:val="ListParagraph"/>
              <w:numPr>
                <w:ilvl w:val="0"/>
                <w:numId w:val="4"/>
              </w:numPr>
              <w:rPr>
                <w:rFonts w:ascii="Times New Roman" w:hAnsi="Times New Roman" w:cs="Times New Roman"/>
                <w:sz w:val="24"/>
                <w:szCs w:val="24"/>
              </w:rPr>
            </w:pPr>
            <w:r w:rsidRPr="004375FE">
              <w:rPr>
                <w:rFonts w:ascii="Arial" w:eastAsia="Arial" w:hAnsi="Arial" w:cs="Arial"/>
                <w:b/>
                <w:bCs/>
                <w:color w:val="000000"/>
                <w:lang w:eastAsia="en-CA"/>
              </w:rPr>
              <w:t>Financial Stress</w:t>
            </w:r>
            <w:r w:rsidRPr="004375FE">
              <w:rPr>
                <w:rFonts w:ascii="Arial" w:eastAsia="Arial" w:hAnsi="Arial" w:cs="Arial"/>
                <w:color w:val="000000"/>
                <w:lang w:eastAsia="en-CA"/>
              </w:rPr>
              <w:t>: According to a report by Georgetown University, 70% of students work while in college, leading to academic stress and failure due to divided attention.</w:t>
            </w:r>
            <w:r w:rsidR="00026A31" w:rsidRPr="004375FE">
              <w:rPr>
                <w:rFonts w:ascii="Arial" w:eastAsia="Arial" w:hAnsi="Arial" w:cs="Arial"/>
                <w:color w:val="000000"/>
                <w:lang w:eastAsia="en-CA"/>
              </w:rPr>
              <w:br/>
            </w:r>
            <w:r w:rsidR="004375FE" w:rsidRPr="004375FE">
              <w:rPr>
                <w:rFonts w:ascii="Times New Roman" w:hAnsi="Times New Roman" w:cs="Times New Roman"/>
                <w:b/>
                <w:bCs/>
                <w:sz w:val="24"/>
                <w:szCs w:val="24"/>
              </w:rPr>
              <w:t>Resources</w:t>
            </w:r>
            <w:r w:rsidR="004375FE" w:rsidRPr="004375FE">
              <w:rPr>
                <w:rFonts w:ascii="Times New Roman" w:hAnsi="Times New Roman" w:cs="Times New Roman"/>
                <w:sz w:val="24"/>
                <w:szCs w:val="24"/>
              </w:rPr>
              <w:t>:</w:t>
            </w:r>
          </w:p>
          <w:p w14:paraId="64EF3B7D" w14:textId="77777777" w:rsidR="004375FE" w:rsidRPr="009F0913" w:rsidRDefault="004375FE" w:rsidP="004375FE">
            <w:pPr>
              <w:pStyle w:val="ListParagraph"/>
              <w:numPr>
                <w:ilvl w:val="0"/>
                <w:numId w:val="9"/>
              </w:numPr>
              <w:rPr>
                <w:rFonts w:ascii="Times New Roman" w:hAnsi="Times New Roman" w:cs="Times New Roman"/>
                <w:sz w:val="24"/>
                <w:szCs w:val="24"/>
              </w:rPr>
            </w:pPr>
            <w:r w:rsidRPr="00517634">
              <w:rPr>
                <w:rFonts w:ascii="Times New Roman" w:hAnsi="Times New Roman" w:cs="Times New Roman"/>
                <w:sz w:val="24"/>
                <w:szCs w:val="24"/>
                <w:lang w:val="en-US"/>
              </w:rPr>
              <w:t>Georgetown University Center on Education and the Workforce.</w:t>
            </w:r>
            <w:r>
              <w:rPr>
                <w:rFonts w:ascii="Times New Roman" w:hAnsi="Times New Roman" w:cs="Times New Roman"/>
                <w:sz w:val="24"/>
                <w:szCs w:val="24"/>
                <w:lang w:val="en-US"/>
              </w:rPr>
              <w:t xml:space="preserve"> </w:t>
            </w:r>
            <w:hyperlink r:id="rId11" w:history="1">
              <w:r w:rsidRPr="002C589F">
                <w:rPr>
                  <w:rStyle w:val="Hyperlink"/>
                  <w:rFonts w:ascii="Times New Roman" w:hAnsi="Times New Roman" w:cs="Times New Roman"/>
                  <w:sz w:val="24"/>
                  <w:szCs w:val="24"/>
                  <w:lang w:val="en-US"/>
                </w:rPr>
                <w:t>https://cew.georgetown.edu/cew-reports/workinglearners/</w:t>
              </w:r>
            </w:hyperlink>
          </w:p>
          <w:p w14:paraId="0964D836" w14:textId="48CA1EA0" w:rsidR="00DA7E8C" w:rsidRPr="00DA7E8C" w:rsidRDefault="004375FE" w:rsidP="004375FE">
            <w:pPr>
              <w:widowControl w:val="0"/>
              <w:numPr>
                <w:ilvl w:val="1"/>
                <w:numId w:val="4"/>
              </w:numPr>
              <w:pBdr>
                <w:top w:val="nil"/>
                <w:left w:val="nil"/>
                <w:bottom w:val="nil"/>
                <w:right w:val="nil"/>
                <w:between w:val="nil"/>
              </w:pBdr>
              <w:spacing w:after="0" w:line="240" w:lineRule="auto"/>
              <w:rPr>
                <w:rFonts w:ascii="Arial" w:eastAsia="Arial" w:hAnsi="Arial" w:cs="Arial"/>
                <w:color w:val="000000"/>
                <w:lang w:eastAsia="en-CA"/>
              </w:rPr>
            </w:pPr>
            <w:r w:rsidRPr="006D322D">
              <w:rPr>
                <w:rFonts w:ascii="Times New Roman" w:hAnsi="Times New Roman" w:cs="Times New Roman"/>
                <w:sz w:val="24"/>
                <w:szCs w:val="24"/>
              </w:rPr>
              <w:t>Journal of College Student Retention: Research, Theory &amp; Practice, 10(3), 287–305</w:t>
            </w:r>
            <w:r>
              <w:rPr>
                <w:rFonts w:ascii="Times New Roman" w:hAnsi="Times New Roman" w:cs="Times New Roman"/>
                <w:sz w:val="24"/>
                <w:szCs w:val="24"/>
              </w:rPr>
              <w:t xml:space="preserve">. </w:t>
            </w:r>
            <w:hyperlink r:id="rId12" w:history="1">
              <w:r w:rsidRPr="002C589F">
                <w:rPr>
                  <w:rStyle w:val="Hyperlink"/>
                  <w:rFonts w:ascii="Times New Roman" w:hAnsi="Times New Roman" w:cs="Times New Roman"/>
                  <w:sz w:val="24"/>
                  <w:szCs w:val="24"/>
                  <w:lang w:val="en-US"/>
                </w:rPr>
                <w:t>https://doi.org/10.2190/CS.10.3.c</w:t>
              </w:r>
            </w:hyperlink>
          </w:p>
          <w:p w14:paraId="1E463BC6" w14:textId="77777777" w:rsidR="006B0A04" w:rsidRPr="006B0A04" w:rsidRDefault="00DA7E8C" w:rsidP="006B0A04">
            <w:pPr>
              <w:pStyle w:val="ListParagraph"/>
              <w:numPr>
                <w:ilvl w:val="0"/>
                <w:numId w:val="4"/>
              </w:numPr>
              <w:rPr>
                <w:rFonts w:ascii="Times New Roman" w:hAnsi="Times New Roman" w:cs="Times New Roman"/>
                <w:sz w:val="24"/>
                <w:szCs w:val="24"/>
              </w:rPr>
            </w:pPr>
            <w:r w:rsidRPr="006B0A04">
              <w:rPr>
                <w:rFonts w:ascii="Arial" w:eastAsia="Arial" w:hAnsi="Arial" w:cs="Arial"/>
                <w:b/>
                <w:bCs/>
                <w:color w:val="000000"/>
                <w:lang w:eastAsia="en-CA"/>
              </w:rPr>
              <w:t>Mental Health Issues</w:t>
            </w:r>
            <w:r w:rsidRPr="006B0A04">
              <w:rPr>
                <w:rFonts w:ascii="Arial" w:eastAsia="Arial" w:hAnsi="Arial" w:cs="Arial"/>
                <w:color w:val="000000"/>
                <w:lang w:eastAsia="en-CA"/>
              </w:rPr>
              <w:t xml:space="preserve">: A study published in the Journal of American College Health found that 64% of college dropouts do so because of mental health issues like depression and anxiety. </w:t>
            </w:r>
            <w:r w:rsidR="00DD29B5">
              <w:br/>
            </w:r>
            <w:r w:rsidR="006B0A04" w:rsidRPr="006B0A04">
              <w:rPr>
                <w:rFonts w:ascii="Times New Roman" w:hAnsi="Times New Roman" w:cs="Times New Roman"/>
                <w:b/>
                <w:bCs/>
                <w:sz w:val="24"/>
                <w:szCs w:val="24"/>
              </w:rPr>
              <w:t>Resources</w:t>
            </w:r>
            <w:r w:rsidR="006B0A04" w:rsidRPr="006B0A04">
              <w:rPr>
                <w:rFonts w:ascii="Times New Roman" w:hAnsi="Times New Roman" w:cs="Times New Roman"/>
                <w:sz w:val="24"/>
                <w:szCs w:val="24"/>
              </w:rPr>
              <w:t>:</w:t>
            </w:r>
          </w:p>
          <w:p w14:paraId="076FEBDB" w14:textId="77777777" w:rsidR="006B0A04" w:rsidRPr="00FE7341" w:rsidRDefault="006B0A04" w:rsidP="006B0A04">
            <w:pPr>
              <w:pStyle w:val="ListParagraph"/>
              <w:numPr>
                <w:ilvl w:val="0"/>
                <w:numId w:val="10"/>
              </w:numPr>
              <w:rPr>
                <w:rFonts w:ascii="Times New Roman" w:hAnsi="Times New Roman" w:cs="Times New Roman"/>
                <w:sz w:val="24"/>
                <w:szCs w:val="24"/>
              </w:rPr>
            </w:pPr>
            <w:r w:rsidRPr="00857BDD">
              <w:rPr>
                <w:rFonts w:ascii="Times New Roman" w:hAnsi="Times New Roman" w:cs="Times New Roman"/>
                <w:sz w:val="24"/>
                <w:szCs w:val="24"/>
                <w:lang w:val="en-US"/>
              </w:rPr>
              <w:t>The B.E. Journal of Economic Analysis &amp; Policy</w:t>
            </w:r>
            <w:r>
              <w:rPr>
                <w:rFonts w:ascii="Times New Roman" w:hAnsi="Times New Roman" w:cs="Times New Roman"/>
                <w:sz w:val="24"/>
                <w:szCs w:val="24"/>
                <w:lang w:val="en-US"/>
              </w:rPr>
              <w:t xml:space="preserve">, </w:t>
            </w:r>
            <w:r w:rsidRPr="00213125">
              <w:rPr>
                <w:rFonts w:ascii="Times New Roman" w:hAnsi="Times New Roman" w:cs="Times New Roman"/>
                <w:sz w:val="24"/>
                <w:szCs w:val="24"/>
                <w:lang w:val="en-US"/>
              </w:rPr>
              <w:t>9(1).</w:t>
            </w:r>
            <w:r>
              <w:rPr>
                <w:rFonts w:ascii="Times New Roman" w:hAnsi="Times New Roman" w:cs="Times New Roman"/>
                <w:sz w:val="24"/>
                <w:szCs w:val="24"/>
                <w:lang w:val="en-US"/>
              </w:rPr>
              <w:t xml:space="preserve"> </w:t>
            </w:r>
            <w:hyperlink r:id="rId13" w:history="1">
              <w:r w:rsidRPr="002C589F">
                <w:rPr>
                  <w:rStyle w:val="Hyperlink"/>
                  <w:rFonts w:ascii="Times New Roman" w:hAnsi="Times New Roman" w:cs="Times New Roman"/>
                  <w:sz w:val="24"/>
                  <w:szCs w:val="24"/>
                  <w:lang w:val="en-US"/>
                </w:rPr>
                <w:t>https://doi.org/10.2202/1935-1682.2191</w:t>
              </w:r>
            </w:hyperlink>
          </w:p>
          <w:p w14:paraId="7CC74064" w14:textId="6BB7EAA0" w:rsidR="00DA7E8C" w:rsidRPr="00DA7E8C" w:rsidRDefault="006B0A04" w:rsidP="006B0A04">
            <w:pPr>
              <w:widowControl w:val="0"/>
              <w:numPr>
                <w:ilvl w:val="1"/>
                <w:numId w:val="4"/>
              </w:numPr>
              <w:pBdr>
                <w:top w:val="nil"/>
                <w:left w:val="nil"/>
                <w:bottom w:val="nil"/>
                <w:right w:val="nil"/>
                <w:between w:val="nil"/>
              </w:pBdr>
              <w:spacing w:after="0" w:line="240" w:lineRule="auto"/>
              <w:rPr>
                <w:rFonts w:ascii="Arial" w:eastAsia="Arial" w:hAnsi="Arial" w:cs="Arial"/>
                <w:color w:val="000000"/>
                <w:lang w:eastAsia="en-CA"/>
              </w:rPr>
            </w:pPr>
            <w:r w:rsidRPr="00FE7341">
              <w:rPr>
                <w:rFonts w:ascii="Times New Roman" w:hAnsi="Times New Roman" w:cs="Times New Roman"/>
                <w:sz w:val="24"/>
                <w:szCs w:val="24"/>
                <w:lang w:val="en-US"/>
              </w:rPr>
              <w:t>Mental health problems and help-seeking behavior among college students.</w:t>
            </w:r>
            <w:r>
              <w:rPr>
                <w:rFonts w:ascii="Times New Roman" w:hAnsi="Times New Roman" w:cs="Times New Roman"/>
                <w:sz w:val="24"/>
                <w:szCs w:val="24"/>
                <w:lang w:val="en-US"/>
              </w:rPr>
              <w:t xml:space="preserve"> </w:t>
            </w:r>
            <w:r w:rsidRPr="00467E55">
              <w:rPr>
                <w:rFonts w:ascii="Times New Roman" w:hAnsi="Times New Roman" w:cs="Times New Roman"/>
                <w:sz w:val="24"/>
                <w:szCs w:val="24"/>
                <w:lang w:val="en-US"/>
              </w:rPr>
              <w:t>Journal of Adolescent Health, 46(1), 3–10.</w:t>
            </w:r>
            <w:r>
              <w:rPr>
                <w:rFonts w:ascii="Times New Roman" w:hAnsi="Times New Roman" w:cs="Times New Roman"/>
                <w:sz w:val="24"/>
                <w:szCs w:val="24"/>
                <w:lang w:val="en-US"/>
              </w:rPr>
              <w:t xml:space="preserve"> </w:t>
            </w:r>
            <w:hyperlink r:id="rId14" w:history="1">
              <w:r w:rsidRPr="002C589F">
                <w:rPr>
                  <w:rStyle w:val="Hyperlink"/>
                  <w:rFonts w:ascii="Times New Roman" w:hAnsi="Times New Roman" w:cs="Times New Roman"/>
                  <w:sz w:val="24"/>
                  <w:szCs w:val="24"/>
                  <w:lang w:val="en-US"/>
                </w:rPr>
                <w:t>https://doi.org/10.1016/j.jadohealth.2009.08.008</w:t>
              </w:r>
            </w:hyperlink>
          </w:p>
          <w:p w14:paraId="22CFB065" w14:textId="77777777" w:rsidR="00314F0B" w:rsidRPr="00314F0B" w:rsidRDefault="00DA7E8C" w:rsidP="00314F0B">
            <w:pPr>
              <w:pStyle w:val="ListParagraph"/>
              <w:numPr>
                <w:ilvl w:val="0"/>
                <w:numId w:val="4"/>
              </w:numPr>
              <w:rPr>
                <w:rFonts w:ascii="Times New Roman" w:hAnsi="Times New Roman" w:cs="Times New Roman"/>
                <w:sz w:val="24"/>
                <w:szCs w:val="24"/>
              </w:rPr>
            </w:pPr>
            <w:r w:rsidRPr="00314F0B">
              <w:rPr>
                <w:rFonts w:ascii="Arial" w:eastAsia="Arial" w:hAnsi="Arial" w:cs="Arial"/>
                <w:b/>
                <w:bCs/>
                <w:color w:val="000000"/>
                <w:lang w:eastAsia="en-CA"/>
              </w:rPr>
              <w:t>Lack of Academic Support</w:t>
            </w:r>
            <w:r w:rsidRPr="00314F0B">
              <w:rPr>
                <w:rFonts w:ascii="Arial" w:eastAsia="Arial" w:hAnsi="Arial" w:cs="Arial"/>
                <w:color w:val="000000"/>
                <w:lang w:eastAsia="en-CA"/>
              </w:rPr>
              <w:t>: A report by Inside Higher Ed states that 55% of students feel they lack adequate academic support, leading to failure.</w:t>
            </w:r>
            <w:r w:rsidR="00314F0B" w:rsidRPr="00314F0B">
              <w:rPr>
                <w:rFonts w:ascii="Arial" w:eastAsia="Arial" w:hAnsi="Arial" w:cs="Arial"/>
                <w:color w:val="000000"/>
                <w:lang w:eastAsia="en-CA"/>
              </w:rPr>
              <w:br/>
            </w:r>
            <w:r w:rsidR="00314F0B" w:rsidRPr="00314F0B">
              <w:rPr>
                <w:rFonts w:ascii="Times New Roman" w:hAnsi="Times New Roman" w:cs="Times New Roman"/>
                <w:b/>
                <w:bCs/>
                <w:sz w:val="24"/>
                <w:szCs w:val="24"/>
              </w:rPr>
              <w:t>Resources</w:t>
            </w:r>
            <w:r w:rsidR="00314F0B" w:rsidRPr="00314F0B">
              <w:rPr>
                <w:rFonts w:ascii="Times New Roman" w:hAnsi="Times New Roman" w:cs="Times New Roman"/>
                <w:sz w:val="24"/>
                <w:szCs w:val="24"/>
              </w:rPr>
              <w:t>:</w:t>
            </w:r>
          </w:p>
          <w:p w14:paraId="14AECF9C" w14:textId="77777777" w:rsidR="00314F0B" w:rsidRPr="004F78A9" w:rsidRDefault="00314F0B" w:rsidP="00314F0B">
            <w:pPr>
              <w:pStyle w:val="ListParagraph"/>
              <w:numPr>
                <w:ilvl w:val="0"/>
                <w:numId w:val="11"/>
              </w:numPr>
              <w:rPr>
                <w:rFonts w:ascii="Times New Roman" w:hAnsi="Times New Roman" w:cs="Times New Roman"/>
                <w:sz w:val="24"/>
                <w:szCs w:val="24"/>
              </w:rPr>
            </w:pPr>
            <w:r w:rsidRPr="00DF31F2">
              <w:rPr>
                <w:rFonts w:ascii="Times New Roman" w:hAnsi="Times New Roman" w:cs="Times New Roman"/>
                <w:sz w:val="24"/>
                <w:szCs w:val="24"/>
                <w:lang w:val="en-US"/>
              </w:rPr>
              <w:t>Jaschik, S. (2020).</w:t>
            </w:r>
            <w:r>
              <w:rPr>
                <w:rFonts w:ascii="Times New Roman" w:hAnsi="Times New Roman" w:cs="Times New Roman"/>
                <w:sz w:val="24"/>
                <w:szCs w:val="24"/>
                <w:lang w:val="en-US"/>
              </w:rPr>
              <w:t xml:space="preserve"> </w:t>
            </w:r>
            <w:r w:rsidRPr="00D42BAF">
              <w:rPr>
                <w:rFonts w:ascii="Times New Roman" w:hAnsi="Times New Roman" w:cs="Times New Roman"/>
                <w:sz w:val="24"/>
                <w:szCs w:val="24"/>
                <w:lang w:val="en-US"/>
              </w:rPr>
              <w:t>Survey of Student Engagement Highlights Importance of Faculty Interaction.</w:t>
            </w:r>
            <w:r>
              <w:rPr>
                <w:rFonts w:ascii="Times New Roman" w:hAnsi="Times New Roman" w:cs="Times New Roman"/>
                <w:sz w:val="24"/>
                <w:szCs w:val="24"/>
                <w:lang w:val="en-US"/>
              </w:rPr>
              <w:t xml:space="preserve"> </w:t>
            </w:r>
            <w:r w:rsidRPr="00D42BAF">
              <w:rPr>
                <w:rFonts w:ascii="Times New Roman" w:hAnsi="Times New Roman" w:cs="Times New Roman"/>
                <w:sz w:val="24"/>
                <w:szCs w:val="24"/>
                <w:lang w:val="en-US"/>
              </w:rPr>
              <w:t>Inside Higher Ed.</w:t>
            </w:r>
            <w:r>
              <w:rPr>
                <w:rFonts w:ascii="Times New Roman" w:hAnsi="Times New Roman" w:cs="Times New Roman"/>
                <w:sz w:val="24"/>
                <w:szCs w:val="24"/>
                <w:lang w:val="en-US"/>
              </w:rPr>
              <w:t xml:space="preserve"> </w:t>
            </w:r>
            <w:hyperlink r:id="rId15" w:history="1">
              <w:r w:rsidRPr="002C589F">
                <w:rPr>
                  <w:rStyle w:val="Hyperlink"/>
                  <w:rFonts w:ascii="Times New Roman" w:hAnsi="Times New Roman" w:cs="Times New Roman"/>
                  <w:sz w:val="24"/>
                  <w:szCs w:val="24"/>
                  <w:lang w:val="en-US"/>
                </w:rPr>
                <w:t>https://www.insidehighered.com/news/2020/11/12/national-survey-student-engagement-finds-online-students-missing-interactions-faculty</w:t>
              </w:r>
            </w:hyperlink>
          </w:p>
          <w:p w14:paraId="02FE460D" w14:textId="115F6100" w:rsidR="00DA7E8C" w:rsidRPr="00DA7E8C" w:rsidRDefault="00314F0B" w:rsidP="00314F0B">
            <w:pPr>
              <w:widowControl w:val="0"/>
              <w:numPr>
                <w:ilvl w:val="1"/>
                <w:numId w:val="4"/>
              </w:numPr>
              <w:pBdr>
                <w:top w:val="nil"/>
                <w:left w:val="nil"/>
                <w:bottom w:val="nil"/>
                <w:right w:val="nil"/>
                <w:between w:val="nil"/>
              </w:pBdr>
              <w:spacing w:after="0" w:line="240" w:lineRule="auto"/>
              <w:rPr>
                <w:rFonts w:ascii="Arial" w:eastAsia="Arial" w:hAnsi="Arial" w:cs="Arial"/>
                <w:color w:val="000000"/>
                <w:lang w:eastAsia="en-CA"/>
              </w:rPr>
            </w:pPr>
            <w:r w:rsidRPr="00CF736E">
              <w:rPr>
                <w:rFonts w:ascii="Times New Roman" w:hAnsi="Times New Roman" w:cs="Times New Roman"/>
                <w:sz w:val="24"/>
                <w:szCs w:val="24"/>
                <w:lang w:val="en-US"/>
              </w:rPr>
              <w:t>NSSE (2020).</w:t>
            </w:r>
            <w:r>
              <w:rPr>
                <w:rFonts w:ascii="Times New Roman" w:hAnsi="Times New Roman" w:cs="Times New Roman"/>
                <w:sz w:val="24"/>
                <w:szCs w:val="24"/>
                <w:lang w:val="en-US"/>
              </w:rPr>
              <w:t xml:space="preserve"> </w:t>
            </w:r>
            <w:r w:rsidRPr="00CF736E">
              <w:rPr>
                <w:rFonts w:ascii="Times New Roman" w:hAnsi="Times New Roman" w:cs="Times New Roman"/>
                <w:sz w:val="24"/>
                <w:szCs w:val="24"/>
                <w:lang w:val="en-US"/>
              </w:rPr>
              <w:t>Engagement Insights: Survey Findings on the Quality of Undergraduate Education.</w:t>
            </w:r>
            <w:r>
              <w:rPr>
                <w:rFonts w:ascii="Times New Roman" w:hAnsi="Times New Roman" w:cs="Times New Roman"/>
                <w:sz w:val="24"/>
                <w:szCs w:val="24"/>
                <w:lang w:val="en-US"/>
              </w:rPr>
              <w:t xml:space="preserve"> </w:t>
            </w:r>
            <w:hyperlink r:id="rId16" w:history="1">
              <w:r w:rsidRPr="002C589F">
                <w:rPr>
                  <w:rStyle w:val="Hyperlink"/>
                  <w:rFonts w:ascii="Times New Roman" w:hAnsi="Times New Roman" w:cs="Times New Roman"/>
                  <w:sz w:val="24"/>
                  <w:szCs w:val="24"/>
                  <w:lang w:val="en-US"/>
                </w:rPr>
                <w:t>https://nsse.indiana.edu/research/annual-results/index.html</w:t>
              </w:r>
            </w:hyperlink>
          </w:p>
          <w:p w14:paraId="6FD20ECD"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Can Planning Be One of the Best Solutions?</w:t>
            </w:r>
          </w:p>
          <w:p w14:paraId="16CFDB80" w14:textId="77777777" w:rsidR="003C76FD" w:rsidRPr="003C76FD" w:rsidRDefault="00DA7E8C" w:rsidP="003C76FD">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Improves Time Management</w:t>
            </w:r>
            <w:r w:rsidRPr="00DA7E8C">
              <w:rPr>
                <w:rFonts w:ascii="Arial" w:eastAsia="Arial" w:hAnsi="Arial" w:cs="Arial"/>
                <w:color w:val="000000"/>
                <w:lang w:eastAsia="en-CA"/>
              </w:rPr>
              <w:t>: A study by the American Psychological Association found that students who use planning tools are 2x more likely to manage their time effectively.</w:t>
            </w:r>
            <w:r w:rsidR="00AC4D93">
              <w:rPr>
                <w:rFonts w:ascii="Arial" w:eastAsia="Arial" w:hAnsi="Arial" w:cs="Arial"/>
                <w:color w:val="000000"/>
                <w:lang w:eastAsia="en-CA"/>
              </w:rPr>
              <w:br/>
            </w:r>
            <w:r w:rsidR="003C76FD" w:rsidRPr="003C76FD">
              <w:rPr>
                <w:rFonts w:ascii="Arial" w:eastAsia="Arial" w:hAnsi="Arial" w:cs="Arial"/>
                <w:color w:val="000000"/>
                <w:lang w:eastAsia="en-CA"/>
              </w:rPr>
              <w:t>Resources:</w:t>
            </w:r>
          </w:p>
          <w:p w14:paraId="3F24832F" w14:textId="4326A17C" w:rsidR="003C76FD" w:rsidRPr="003C76FD" w:rsidRDefault="003C76FD" w:rsidP="003C76FD">
            <w:pPr>
              <w:widowControl w:val="0"/>
              <w:numPr>
                <w:ilvl w:val="1"/>
                <w:numId w:val="12"/>
              </w:numPr>
              <w:pBdr>
                <w:top w:val="nil"/>
                <w:left w:val="nil"/>
                <w:bottom w:val="nil"/>
                <w:right w:val="nil"/>
                <w:between w:val="nil"/>
              </w:pBdr>
              <w:spacing w:after="0" w:line="240" w:lineRule="auto"/>
              <w:rPr>
                <w:rFonts w:ascii="Arial" w:eastAsia="Arial" w:hAnsi="Arial" w:cs="Arial"/>
                <w:color w:val="000000"/>
                <w:lang w:eastAsia="en-CA"/>
              </w:rPr>
            </w:pPr>
            <w:r w:rsidRPr="003C76FD">
              <w:rPr>
                <w:rFonts w:ascii="Arial" w:eastAsia="Arial" w:hAnsi="Arial" w:cs="Arial"/>
                <w:color w:val="000000"/>
                <w:lang w:eastAsia="en-CA"/>
              </w:rPr>
              <w:t xml:space="preserve">American Psychological Association. (2019). “Helping students learn time management skills.” </w:t>
            </w:r>
            <w:hyperlink r:id="rId17" w:history="1">
              <w:r w:rsidRPr="00A80BC3">
                <w:rPr>
                  <w:rStyle w:val="Hyperlink"/>
                  <w:rFonts w:ascii="Arial" w:eastAsia="Arial" w:hAnsi="Arial" w:cs="Arial"/>
                  <w:lang w:eastAsia="en-CA"/>
                </w:rPr>
                <w:t>https://www.apa.org/ed/precollege/psn/2019/01/time-management</w:t>
              </w:r>
            </w:hyperlink>
            <w:r>
              <w:rPr>
                <w:rFonts w:ascii="Arial" w:eastAsia="Arial" w:hAnsi="Arial" w:cs="Arial"/>
                <w:color w:val="000000"/>
                <w:lang w:eastAsia="en-CA"/>
              </w:rPr>
              <w:t xml:space="preserve"> </w:t>
            </w:r>
          </w:p>
          <w:p w14:paraId="688EC383" w14:textId="554F6FCD" w:rsidR="00DA7E8C" w:rsidRDefault="003C76FD" w:rsidP="003C76FD">
            <w:pPr>
              <w:widowControl w:val="0"/>
              <w:numPr>
                <w:ilvl w:val="1"/>
                <w:numId w:val="12"/>
              </w:numPr>
              <w:pBdr>
                <w:top w:val="nil"/>
                <w:left w:val="nil"/>
                <w:bottom w:val="nil"/>
                <w:right w:val="nil"/>
                <w:between w:val="nil"/>
              </w:pBdr>
              <w:spacing w:after="0" w:line="240" w:lineRule="auto"/>
              <w:rPr>
                <w:rFonts w:ascii="Arial" w:eastAsia="Arial" w:hAnsi="Arial" w:cs="Arial"/>
                <w:color w:val="000000"/>
                <w:lang w:eastAsia="en-CA"/>
              </w:rPr>
            </w:pPr>
            <w:r w:rsidRPr="003C76FD">
              <w:rPr>
                <w:rFonts w:ascii="Arial" w:eastAsia="Arial" w:hAnsi="Arial" w:cs="Arial"/>
                <w:color w:val="000000"/>
                <w:lang w:eastAsia="en-CA"/>
              </w:rPr>
              <w:t xml:space="preserve">Britton, B. K., &amp; </w:t>
            </w:r>
            <w:proofErr w:type="spellStart"/>
            <w:r w:rsidRPr="003C76FD">
              <w:rPr>
                <w:rFonts w:ascii="Arial" w:eastAsia="Arial" w:hAnsi="Arial" w:cs="Arial"/>
                <w:color w:val="000000"/>
                <w:lang w:eastAsia="en-CA"/>
              </w:rPr>
              <w:t>Tesser</w:t>
            </w:r>
            <w:proofErr w:type="spellEnd"/>
            <w:r w:rsidRPr="003C76FD">
              <w:rPr>
                <w:rFonts w:ascii="Arial" w:eastAsia="Arial" w:hAnsi="Arial" w:cs="Arial"/>
                <w:color w:val="000000"/>
                <w:lang w:eastAsia="en-CA"/>
              </w:rPr>
              <w:t>, A. (1991). “Effects of time-</w:t>
            </w:r>
            <w:r w:rsidRPr="003C76FD">
              <w:rPr>
                <w:rFonts w:ascii="Arial" w:eastAsia="Arial" w:hAnsi="Arial" w:cs="Arial"/>
                <w:color w:val="000000"/>
                <w:lang w:eastAsia="en-CA"/>
              </w:rPr>
              <w:lastRenderedPageBreak/>
              <w:t xml:space="preserve">management practices on college grades.” Journal of Educational Psychology, 83(3), 405–410. </w:t>
            </w:r>
            <w:hyperlink r:id="rId18" w:history="1">
              <w:r w:rsidRPr="00A80BC3">
                <w:rPr>
                  <w:rStyle w:val="Hyperlink"/>
                  <w:rFonts w:ascii="Arial" w:eastAsia="Arial" w:hAnsi="Arial" w:cs="Arial"/>
                  <w:lang w:eastAsia="en-CA"/>
                </w:rPr>
                <w:t>https://doi.org/10.1037/0022-0663.83.3.405</w:t>
              </w:r>
            </w:hyperlink>
            <w:r>
              <w:rPr>
                <w:rFonts w:ascii="Arial" w:eastAsia="Arial" w:hAnsi="Arial" w:cs="Arial"/>
                <w:color w:val="000000"/>
                <w:lang w:eastAsia="en-CA"/>
              </w:rPr>
              <w:t xml:space="preserve"> </w:t>
            </w:r>
          </w:p>
          <w:p w14:paraId="2C42EEF4" w14:textId="77777777" w:rsidR="00DD26B8" w:rsidRPr="00DA7E8C" w:rsidRDefault="00DD26B8" w:rsidP="00DD26B8">
            <w:pPr>
              <w:widowControl w:val="0"/>
              <w:pBdr>
                <w:top w:val="nil"/>
                <w:left w:val="nil"/>
                <w:bottom w:val="nil"/>
                <w:right w:val="nil"/>
                <w:between w:val="nil"/>
              </w:pBdr>
              <w:spacing w:after="0" w:line="240" w:lineRule="auto"/>
              <w:ind w:left="720"/>
              <w:rPr>
                <w:rFonts w:ascii="Arial" w:eastAsia="Arial" w:hAnsi="Arial" w:cs="Arial"/>
                <w:color w:val="000000"/>
                <w:lang w:eastAsia="en-CA"/>
              </w:rPr>
            </w:pPr>
          </w:p>
          <w:p w14:paraId="57783437" w14:textId="77777777" w:rsidR="0075325F" w:rsidRPr="0075325F" w:rsidRDefault="00DA7E8C" w:rsidP="0075325F">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Enhances Study Habits</w:t>
            </w:r>
            <w:r w:rsidRPr="00DA7E8C">
              <w:rPr>
                <w:rFonts w:ascii="Arial" w:eastAsia="Arial" w:hAnsi="Arial" w:cs="Arial"/>
                <w:color w:val="000000"/>
                <w:lang w:eastAsia="en-CA"/>
              </w:rPr>
              <w:t>: According to a report by McGraw-Hill Education, 81% of students who used digital planning tools saw an improvement in their study habits.</w:t>
            </w:r>
            <w:r w:rsidR="00AC31F1">
              <w:rPr>
                <w:rFonts w:ascii="Arial" w:eastAsia="Arial" w:hAnsi="Arial" w:cs="Arial"/>
                <w:color w:val="000000"/>
                <w:lang w:eastAsia="en-CA"/>
              </w:rPr>
              <w:br/>
            </w:r>
            <w:r w:rsidR="0075325F" w:rsidRPr="0075325F">
              <w:rPr>
                <w:rFonts w:ascii="Arial" w:eastAsia="Arial" w:hAnsi="Arial" w:cs="Arial"/>
                <w:color w:val="000000"/>
                <w:lang w:eastAsia="en-CA"/>
              </w:rPr>
              <w:t>Resources:</w:t>
            </w:r>
          </w:p>
          <w:p w14:paraId="39780EC7" w14:textId="4A01F542" w:rsidR="0075325F" w:rsidRPr="0075325F" w:rsidRDefault="0075325F" w:rsidP="0075325F">
            <w:pPr>
              <w:widowControl w:val="0"/>
              <w:numPr>
                <w:ilvl w:val="1"/>
                <w:numId w:val="13"/>
              </w:numPr>
              <w:pBdr>
                <w:top w:val="nil"/>
                <w:left w:val="nil"/>
                <w:bottom w:val="nil"/>
                <w:right w:val="nil"/>
                <w:between w:val="nil"/>
              </w:pBdr>
              <w:spacing w:after="0" w:line="240" w:lineRule="auto"/>
              <w:rPr>
                <w:rFonts w:ascii="Arial" w:eastAsia="Arial" w:hAnsi="Arial" w:cs="Arial"/>
                <w:color w:val="000000"/>
                <w:lang w:eastAsia="en-CA"/>
              </w:rPr>
            </w:pPr>
            <w:r w:rsidRPr="0075325F">
              <w:rPr>
                <w:rFonts w:ascii="Arial" w:eastAsia="Arial" w:hAnsi="Arial" w:cs="Arial"/>
                <w:color w:val="000000"/>
                <w:lang w:eastAsia="en-CA"/>
              </w:rPr>
              <w:t xml:space="preserve">McGraw-Hill Education. (2016). "Digital Study Trends Survey." Digital Study Trends Survey. </w:t>
            </w:r>
            <w:hyperlink r:id="rId19" w:history="1">
              <w:r w:rsidRPr="00A80BC3">
                <w:rPr>
                  <w:rStyle w:val="Hyperlink"/>
                  <w:rFonts w:ascii="Arial" w:eastAsia="Arial" w:hAnsi="Arial" w:cs="Arial"/>
                  <w:lang w:eastAsia="en-CA"/>
                </w:rPr>
                <w:t>https://www.mheducation.com/news-insights/articles/digital-study-trends-survey.html</w:t>
              </w:r>
            </w:hyperlink>
            <w:r>
              <w:rPr>
                <w:rFonts w:ascii="Arial" w:eastAsia="Arial" w:hAnsi="Arial" w:cs="Arial"/>
                <w:color w:val="000000"/>
                <w:lang w:eastAsia="en-CA"/>
              </w:rPr>
              <w:t xml:space="preserve"> </w:t>
            </w:r>
          </w:p>
          <w:p w14:paraId="47EF5EDE" w14:textId="580D9297" w:rsidR="00DA7E8C" w:rsidRPr="00DA7E8C" w:rsidRDefault="0075325F" w:rsidP="0075325F">
            <w:pPr>
              <w:widowControl w:val="0"/>
              <w:numPr>
                <w:ilvl w:val="1"/>
                <w:numId w:val="13"/>
              </w:numPr>
              <w:pBdr>
                <w:top w:val="nil"/>
                <w:left w:val="nil"/>
                <w:bottom w:val="nil"/>
                <w:right w:val="nil"/>
                <w:between w:val="nil"/>
              </w:pBdr>
              <w:spacing w:after="0" w:line="240" w:lineRule="auto"/>
              <w:rPr>
                <w:rFonts w:ascii="Arial" w:eastAsia="Arial" w:hAnsi="Arial" w:cs="Arial"/>
                <w:color w:val="000000"/>
                <w:lang w:eastAsia="en-CA"/>
              </w:rPr>
            </w:pPr>
            <w:r w:rsidRPr="0075325F">
              <w:rPr>
                <w:rFonts w:ascii="Arial" w:eastAsia="Arial" w:hAnsi="Arial" w:cs="Arial"/>
                <w:color w:val="000000"/>
                <w:lang w:eastAsia="en-CA"/>
              </w:rPr>
              <w:t xml:space="preserve">Barak, M., Lipson, A., &amp; Lerman, S. (2006). "Wireless laptops as means for promoting active learning in large lecture halls." Journal of Research on Technology in Education, 38(3), 245–263. </w:t>
            </w:r>
            <w:hyperlink r:id="rId20" w:history="1">
              <w:r w:rsidRPr="00A80BC3">
                <w:rPr>
                  <w:rStyle w:val="Hyperlink"/>
                  <w:rFonts w:ascii="Arial" w:eastAsia="Arial" w:hAnsi="Arial" w:cs="Arial"/>
                  <w:lang w:eastAsia="en-CA"/>
                </w:rPr>
                <w:t>https://doi.org/10.1080/15391523.2006.10782459</w:t>
              </w:r>
            </w:hyperlink>
            <w:r>
              <w:rPr>
                <w:rFonts w:ascii="Arial" w:eastAsia="Arial" w:hAnsi="Arial" w:cs="Arial"/>
                <w:color w:val="000000"/>
                <w:lang w:eastAsia="en-CA"/>
              </w:rPr>
              <w:t xml:space="preserve"> </w:t>
            </w:r>
          </w:p>
          <w:p w14:paraId="5E404149" w14:textId="77777777" w:rsidR="00185596" w:rsidRPr="00185596" w:rsidRDefault="00DA7E8C" w:rsidP="00185596">
            <w:pPr>
              <w:widowControl w:val="0"/>
              <w:numPr>
                <w:ilvl w:val="0"/>
                <w:numId w:val="5"/>
              </w:numPr>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b/>
                <w:bCs/>
                <w:color w:val="000000"/>
                <w:lang w:eastAsia="en-CA"/>
              </w:rPr>
              <w:t>Reduces Stress</w:t>
            </w:r>
            <w:r w:rsidRPr="00DA7E8C">
              <w:rPr>
                <w:rFonts w:ascii="Arial" w:eastAsia="Arial" w:hAnsi="Arial" w:cs="Arial"/>
                <w:color w:val="000000"/>
                <w:lang w:eastAsia="en-CA"/>
              </w:rPr>
              <w:t>: A study in the Journal of Educational Psychology found that the use of planning tools reduced academic stress by 37%.</w:t>
            </w:r>
            <w:r w:rsidR="00185596">
              <w:rPr>
                <w:rFonts w:ascii="Arial" w:eastAsia="Arial" w:hAnsi="Arial" w:cs="Arial"/>
                <w:color w:val="000000"/>
                <w:lang w:eastAsia="en-CA"/>
              </w:rPr>
              <w:br/>
            </w:r>
            <w:r w:rsidR="00185596" w:rsidRPr="00185596">
              <w:rPr>
                <w:rFonts w:ascii="Arial" w:eastAsia="Arial" w:hAnsi="Arial" w:cs="Arial"/>
                <w:color w:val="000000"/>
                <w:lang w:eastAsia="en-CA"/>
              </w:rPr>
              <w:t>Resources:</w:t>
            </w:r>
          </w:p>
          <w:p w14:paraId="62156974" w14:textId="02B4036D" w:rsidR="00185596" w:rsidRPr="00185596" w:rsidRDefault="00185596" w:rsidP="00185596">
            <w:pPr>
              <w:widowControl w:val="0"/>
              <w:numPr>
                <w:ilvl w:val="1"/>
                <w:numId w:val="14"/>
              </w:numPr>
              <w:pBdr>
                <w:top w:val="nil"/>
                <w:left w:val="nil"/>
                <w:bottom w:val="nil"/>
                <w:right w:val="nil"/>
                <w:between w:val="nil"/>
              </w:pBdr>
              <w:spacing w:after="0" w:line="240" w:lineRule="auto"/>
              <w:rPr>
                <w:rFonts w:ascii="Arial" w:eastAsia="Arial" w:hAnsi="Arial" w:cs="Arial"/>
                <w:color w:val="000000"/>
                <w:lang w:eastAsia="en-CA"/>
              </w:rPr>
            </w:pPr>
            <w:r w:rsidRPr="00185596">
              <w:rPr>
                <w:rFonts w:ascii="Arial" w:eastAsia="Arial" w:hAnsi="Arial" w:cs="Arial"/>
                <w:color w:val="000000"/>
                <w:lang w:eastAsia="en-CA"/>
              </w:rPr>
              <w:t xml:space="preserve">Macan, T. H., Shahani, C., </w:t>
            </w:r>
            <w:proofErr w:type="spellStart"/>
            <w:r w:rsidRPr="00185596">
              <w:rPr>
                <w:rFonts w:ascii="Arial" w:eastAsia="Arial" w:hAnsi="Arial" w:cs="Arial"/>
                <w:color w:val="000000"/>
                <w:lang w:eastAsia="en-CA"/>
              </w:rPr>
              <w:t>Dipboye</w:t>
            </w:r>
            <w:proofErr w:type="spellEnd"/>
            <w:r w:rsidRPr="00185596">
              <w:rPr>
                <w:rFonts w:ascii="Arial" w:eastAsia="Arial" w:hAnsi="Arial" w:cs="Arial"/>
                <w:color w:val="000000"/>
                <w:lang w:eastAsia="en-CA"/>
              </w:rPr>
              <w:t xml:space="preserve">, R. L., &amp; Phillips, A. P. (1990). "College students' time management: Correlations with academic performance and stress." Journal of Educational Psychology, 82(4), 760–768. </w:t>
            </w:r>
            <w:hyperlink r:id="rId21" w:history="1">
              <w:r w:rsidRPr="00A80BC3">
                <w:rPr>
                  <w:rStyle w:val="Hyperlink"/>
                  <w:rFonts w:ascii="Arial" w:eastAsia="Arial" w:hAnsi="Arial" w:cs="Arial"/>
                  <w:lang w:eastAsia="en-CA"/>
                </w:rPr>
                <w:t>https://doi.org/10.1037/0022-0663.82.4.760</w:t>
              </w:r>
            </w:hyperlink>
            <w:r>
              <w:rPr>
                <w:rFonts w:ascii="Arial" w:eastAsia="Arial" w:hAnsi="Arial" w:cs="Arial"/>
                <w:color w:val="000000"/>
                <w:lang w:eastAsia="en-CA"/>
              </w:rPr>
              <w:t xml:space="preserve"> </w:t>
            </w:r>
          </w:p>
          <w:p w14:paraId="4517422A" w14:textId="4D049A81" w:rsidR="00DA7E8C" w:rsidRPr="00DA7E8C" w:rsidRDefault="00185596" w:rsidP="00185596">
            <w:pPr>
              <w:widowControl w:val="0"/>
              <w:numPr>
                <w:ilvl w:val="1"/>
                <w:numId w:val="14"/>
              </w:numPr>
              <w:pBdr>
                <w:top w:val="nil"/>
                <w:left w:val="nil"/>
                <w:bottom w:val="nil"/>
                <w:right w:val="nil"/>
                <w:between w:val="nil"/>
              </w:pBdr>
              <w:spacing w:after="0" w:line="240" w:lineRule="auto"/>
              <w:rPr>
                <w:rFonts w:ascii="Arial" w:eastAsia="Arial" w:hAnsi="Arial" w:cs="Arial"/>
                <w:color w:val="000000"/>
                <w:lang w:eastAsia="en-CA"/>
              </w:rPr>
            </w:pPr>
            <w:r w:rsidRPr="00185596">
              <w:rPr>
                <w:rFonts w:ascii="Arial" w:eastAsia="Arial" w:hAnsi="Arial" w:cs="Arial"/>
                <w:color w:val="000000"/>
                <w:lang w:eastAsia="en-CA"/>
              </w:rPr>
              <w:t xml:space="preserve">Britton, B. K., &amp; </w:t>
            </w:r>
            <w:proofErr w:type="spellStart"/>
            <w:r w:rsidRPr="00185596">
              <w:rPr>
                <w:rFonts w:ascii="Arial" w:eastAsia="Arial" w:hAnsi="Arial" w:cs="Arial"/>
                <w:color w:val="000000"/>
                <w:lang w:eastAsia="en-CA"/>
              </w:rPr>
              <w:t>Tesser</w:t>
            </w:r>
            <w:proofErr w:type="spellEnd"/>
            <w:r w:rsidRPr="00185596">
              <w:rPr>
                <w:rFonts w:ascii="Arial" w:eastAsia="Arial" w:hAnsi="Arial" w:cs="Arial"/>
                <w:color w:val="000000"/>
                <w:lang w:eastAsia="en-CA"/>
              </w:rPr>
              <w:t xml:space="preserve">, A. (1991). "Effects of time-management practices on college grades." Journal of Educational Psychology, 83(3), 405–410. </w:t>
            </w:r>
            <w:hyperlink r:id="rId22" w:history="1">
              <w:r w:rsidRPr="00A80BC3">
                <w:rPr>
                  <w:rStyle w:val="Hyperlink"/>
                  <w:rFonts w:ascii="Arial" w:eastAsia="Arial" w:hAnsi="Arial" w:cs="Arial"/>
                  <w:lang w:eastAsia="en-CA"/>
                </w:rPr>
                <w:t>https://doi.org/10.1037/0022-0663.83.3.405</w:t>
              </w:r>
            </w:hyperlink>
            <w:r>
              <w:rPr>
                <w:rFonts w:ascii="Arial" w:eastAsia="Arial" w:hAnsi="Arial" w:cs="Arial"/>
                <w:color w:val="000000"/>
                <w:lang w:eastAsia="en-CA"/>
              </w:rPr>
              <w:t xml:space="preserve"> </w:t>
            </w:r>
          </w:p>
          <w:p w14:paraId="28522518"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p>
          <w:p w14:paraId="7265C968" w14:textId="77777777" w:rsidR="00DA7E8C" w:rsidRPr="00DA7E8C" w:rsidRDefault="00DA7E8C" w:rsidP="00DA7E8C">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DA7E8C">
              <w:rPr>
                <w:rFonts w:ascii="Arial" w:eastAsia="Arial" w:hAnsi="Arial" w:cs="Arial"/>
                <w:b/>
                <w:bCs/>
                <w:color w:val="000000"/>
                <w:lang w:eastAsia="en-CA"/>
              </w:rPr>
              <w:t>Are There Statistics to Support This?</w:t>
            </w:r>
          </w:p>
          <w:p w14:paraId="45EC83C1" w14:textId="19876DF4" w:rsidR="00DA7E8C" w:rsidRDefault="00DA7E8C" w:rsidP="00DA7E8C">
            <w:pPr>
              <w:widowControl w:val="0"/>
              <w:pBdr>
                <w:top w:val="nil"/>
                <w:left w:val="nil"/>
                <w:bottom w:val="nil"/>
                <w:right w:val="nil"/>
                <w:between w:val="nil"/>
              </w:pBdr>
              <w:spacing w:after="0" w:line="240" w:lineRule="auto"/>
              <w:rPr>
                <w:rFonts w:ascii="Arial" w:eastAsia="Arial" w:hAnsi="Arial" w:cs="Arial"/>
                <w:color w:val="000000"/>
                <w:lang w:eastAsia="en-CA"/>
              </w:rPr>
            </w:pPr>
            <w:r w:rsidRPr="00DA7E8C">
              <w:rPr>
                <w:rFonts w:ascii="Arial" w:eastAsia="Arial" w:hAnsi="Arial" w:cs="Arial"/>
                <w:color w:val="000000"/>
                <w:lang w:eastAsia="en-CA"/>
              </w:rPr>
              <w:t>Yes, a study by the Journal of College Student Retention found that students who used academic planning tools had a 21% higher retention rate compared to those who did not.</w:t>
            </w:r>
          </w:p>
          <w:p w14:paraId="512F12BD" w14:textId="77777777" w:rsidR="00507CB4" w:rsidRPr="00507CB4" w:rsidRDefault="00507CB4" w:rsidP="00507CB4">
            <w:pPr>
              <w:widowControl w:val="0"/>
              <w:pBdr>
                <w:top w:val="nil"/>
                <w:left w:val="nil"/>
                <w:bottom w:val="nil"/>
                <w:right w:val="nil"/>
                <w:between w:val="nil"/>
              </w:pBdr>
              <w:spacing w:after="0" w:line="240" w:lineRule="auto"/>
              <w:rPr>
                <w:rFonts w:ascii="Arial" w:eastAsia="Arial" w:hAnsi="Arial" w:cs="Arial"/>
                <w:color w:val="000000"/>
                <w:lang w:eastAsia="en-CA"/>
              </w:rPr>
            </w:pPr>
            <w:r w:rsidRPr="00507CB4">
              <w:rPr>
                <w:rFonts w:ascii="Arial" w:eastAsia="Arial" w:hAnsi="Arial" w:cs="Arial"/>
                <w:color w:val="000000"/>
                <w:lang w:eastAsia="en-CA"/>
              </w:rPr>
              <w:t>Resources:</w:t>
            </w:r>
          </w:p>
          <w:p w14:paraId="2A7164CF" w14:textId="0CE96F35" w:rsidR="00507CB4" w:rsidRPr="00507CB4" w:rsidRDefault="00507CB4" w:rsidP="00507CB4">
            <w:pPr>
              <w:pStyle w:val="ListParagraph"/>
              <w:widowControl w:val="0"/>
              <w:numPr>
                <w:ilvl w:val="0"/>
                <w:numId w:val="17"/>
              </w:numPr>
              <w:pBdr>
                <w:top w:val="nil"/>
                <w:left w:val="nil"/>
                <w:bottom w:val="nil"/>
                <w:right w:val="nil"/>
                <w:between w:val="nil"/>
              </w:pBdr>
              <w:spacing w:after="0" w:line="240" w:lineRule="auto"/>
              <w:rPr>
                <w:rFonts w:ascii="Arial" w:eastAsia="Arial" w:hAnsi="Arial" w:cs="Arial"/>
                <w:color w:val="000000"/>
                <w:lang w:eastAsia="en-CA"/>
              </w:rPr>
            </w:pPr>
            <w:r w:rsidRPr="00507CB4">
              <w:rPr>
                <w:rFonts w:ascii="Arial" w:eastAsia="Arial" w:hAnsi="Arial" w:cs="Arial"/>
                <w:color w:val="000000"/>
                <w:lang w:eastAsia="en-CA"/>
              </w:rPr>
              <w:t xml:space="preserve">Robbins, S. B., Oh, I. S., Le, H., &amp; Button, C. (2009). "Intervention effects on college performance and retention as mediated by motivational, emotional, and social control factors: Integrated meta-analytic path analyses." Journal of Applied Psychology, 94(5), 1163–1184. </w:t>
            </w:r>
            <w:hyperlink r:id="rId23" w:history="1">
              <w:r w:rsidRPr="00A80BC3">
                <w:rPr>
                  <w:rStyle w:val="Hyperlink"/>
                  <w:rFonts w:ascii="Arial" w:eastAsia="Arial" w:hAnsi="Arial" w:cs="Arial"/>
                  <w:lang w:eastAsia="en-CA"/>
                </w:rPr>
                <w:t>https://doi.org/10.1037/a0015738</w:t>
              </w:r>
            </w:hyperlink>
            <w:r>
              <w:rPr>
                <w:rFonts w:ascii="Arial" w:eastAsia="Arial" w:hAnsi="Arial" w:cs="Arial"/>
                <w:color w:val="000000"/>
                <w:lang w:eastAsia="en-CA"/>
              </w:rPr>
              <w:t xml:space="preserve"> </w:t>
            </w:r>
          </w:p>
          <w:p w14:paraId="307D695A" w14:textId="77777777" w:rsidR="00DA7E8C" w:rsidRDefault="00DA7E8C"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p w14:paraId="4194E49E" w14:textId="77777777" w:rsid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The economic study approach conducted called Net Present Worth (NPW). In which we are citing the worth of a college student study’s in the present and compare that to future worth. In an attempt to reduce expenditure against income, see Timing of Costs and Income diagram attached below.</w:t>
            </w:r>
          </w:p>
          <w:p w14:paraId="740186B6"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081352B3"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890E59">
              <w:rPr>
                <w:rFonts w:ascii="Arial" w:eastAsia="Arial" w:hAnsi="Arial" w:cs="Arial"/>
                <w:noProof/>
                <w:color w:val="000000"/>
                <w:lang w:eastAsia="en-CA"/>
              </w:rPr>
              <w:lastRenderedPageBreak/>
              <w:drawing>
                <wp:inline distT="0" distB="0" distL="0" distR="0" wp14:anchorId="3A3B0F85" wp14:editId="22358507">
                  <wp:extent cx="3340925" cy="1156062"/>
                  <wp:effectExtent l="0" t="0" r="0" b="0"/>
                  <wp:docPr id="210808163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81634" name="Picture 1" descr="A diagram of a graph&#10;&#10;Description automatically generated"/>
                          <pic:cNvPicPr/>
                        </pic:nvPicPr>
                        <pic:blipFill rotWithShape="1">
                          <a:blip r:embed="rId24"/>
                          <a:srcRect l="1609" t="3192" r="1624" b="8249"/>
                          <a:stretch/>
                        </pic:blipFill>
                        <pic:spPr bwMode="auto">
                          <a:xfrm>
                            <a:off x="0" y="0"/>
                            <a:ext cx="3388898" cy="1172662"/>
                          </a:xfrm>
                          <a:prstGeom prst="rect">
                            <a:avLst/>
                          </a:prstGeom>
                          <a:ln>
                            <a:noFill/>
                          </a:ln>
                          <a:extLst>
                            <a:ext uri="{53640926-AAD7-44D8-BBD7-CCE9431645EC}">
                              <a14:shadowObscured xmlns:a14="http://schemas.microsoft.com/office/drawing/2010/main"/>
                            </a:ext>
                          </a:extLst>
                        </pic:spPr>
                      </pic:pic>
                    </a:graphicData>
                  </a:graphic>
                </wp:inline>
              </w:drawing>
            </w:r>
          </w:p>
          <w:p w14:paraId="68585393"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i/>
                <w:iCs/>
                <w:color w:val="000000"/>
                <w:lang w:eastAsia="en-CA"/>
              </w:rPr>
            </w:pPr>
            <w:r w:rsidRPr="00890E59">
              <w:rPr>
                <w:rFonts w:ascii="Arial" w:eastAsia="Arial" w:hAnsi="Arial" w:cs="Arial"/>
                <w:i/>
                <w:iCs/>
                <w:color w:val="000000"/>
                <w:lang w:eastAsia="en-CA"/>
              </w:rPr>
              <w:t>Fig.-</w:t>
            </w:r>
            <w:r w:rsidRPr="00890E59">
              <w:rPr>
                <w:rFonts w:ascii="Arial" w:eastAsia="Arial" w:hAnsi="Arial" w:cs="Arial"/>
                <w:i/>
                <w:iCs/>
                <w:color w:val="000000"/>
                <w:lang w:eastAsia="en-CA"/>
              </w:rPr>
              <w:fldChar w:fldCharType="begin"/>
            </w:r>
            <w:r w:rsidRPr="00890E59">
              <w:rPr>
                <w:rFonts w:ascii="Arial" w:eastAsia="Arial" w:hAnsi="Arial" w:cs="Arial"/>
                <w:i/>
                <w:iCs/>
                <w:color w:val="000000"/>
                <w:lang w:eastAsia="en-CA"/>
              </w:rPr>
              <w:instrText xml:space="preserve"> SEQ Figure \* ARABIC </w:instrText>
            </w:r>
            <w:r w:rsidRPr="00890E59">
              <w:rPr>
                <w:rFonts w:ascii="Arial" w:eastAsia="Arial" w:hAnsi="Arial" w:cs="Arial"/>
                <w:i/>
                <w:iCs/>
                <w:color w:val="000000"/>
                <w:lang w:eastAsia="en-CA"/>
              </w:rPr>
              <w:fldChar w:fldCharType="separate"/>
            </w:r>
            <w:r w:rsidRPr="00890E59">
              <w:rPr>
                <w:rFonts w:ascii="Arial" w:eastAsia="Arial" w:hAnsi="Arial" w:cs="Arial"/>
                <w:i/>
                <w:iCs/>
                <w:color w:val="000000"/>
                <w:lang w:eastAsia="en-CA"/>
              </w:rPr>
              <w:t>1</w:t>
            </w:r>
            <w:r w:rsidRPr="00890E59">
              <w:rPr>
                <w:rFonts w:ascii="Arial" w:eastAsia="Arial" w:hAnsi="Arial" w:cs="Arial"/>
                <w:color w:val="000000"/>
                <w:lang w:eastAsia="en-CA"/>
              </w:rPr>
              <w:fldChar w:fldCharType="end"/>
            </w:r>
            <w:r w:rsidRPr="00890E59">
              <w:rPr>
                <w:rFonts w:ascii="Arial" w:eastAsia="Arial" w:hAnsi="Arial" w:cs="Arial"/>
                <w:i/>
                <w:iCs/>
                <w:color w:val="000000"/>
                <w:lang w:eastAsia="en-CA"/>
              </w:rPr>
              <w:t xml:space="preserve"> Timing of Costs and Income Diagram</w:t>
            </w:r>
          </w:p>
          <w:p w14:paraId="4C9500B1" w14:textId="77777777" w:rsid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1F8B113C" w14:textId="7F49C845"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Study terms and equations:</w:t>
            </w:r>
          </w:p>
          <w:p w14:paraId="3520F4AD" w14:textId="7DA0F82F"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NPW=PW of benefits- PW of costs</m:t>
                </m:r>
              </m:oMath>
            </m:oMathPara>
          </w:p>
          <w:p w14:paraId="4C576E6F"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NPW: Net Present Worth</w:t>
            </w:r>
          </w:p>
          <w:p w14:paraId="634BEF98" w14:textId="218479CB"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PW: Present Worth</w:t>
            </w:r>
          </w:p>
          <w:p w14:paraId="73337B2C"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
          <w:p w14:paraId="190948D6" w14:textId="2D06834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P</m:t>
                </m:r>
                <m:r>
                  <w:rPr>
                    <w:rFonts w:ascii="Cambria Math" w:eastAsia="Arial" w:hAnsi="Cambria Math" w:cs="Arial"/>
                    <w:color w:val="000000"/>
                    <w:lang w:eastAsia="en-CA"/>
                  </w:rPr>
                  <m:t>=</m:t>
                </m:r>
                <m:f>
                  <m:fPr>
                    <m:ctrlPr>
                      <w:rPr>
                        <w:rFonts w:ascii="Cambria Math" w:eastAsia="Arial" w:hAnsi="Cambria Math" w:cs="Arial"/>
                        <w:i/>
                        <w:color w:val="000000"/>
                        <w:lang w:eastAsia="en-CA"/>
                      </w:rPr>
                    </m:ctrlPr>
                  </m:fPr>
                  <m:num>
                    <m:r>
                      <w:rPr>
                        <w:rFonts w:ascii="Cambria Math" w:eastAsia="Arial" w:hAnsi="Cambria Math" w:cs="Arial"/>
                        <w:color w:val="000000"/>
                        <w:lang w:eastAsia="en-CA"/>
                      </w:rPr>
                      <m:t>1</m:t>
                    </m:r>
                  </m:num>
                  <m:den>
                    <m:r>
                      <w:rPr>
                        <w:rFonts w:ascii="Cambria Math" w:eastAsia="Arial" w:hAnsi="Cambria Math" w:cs="Arial"/>
                        <w:color w:val="000000"/>
                        <w:lang w:eastAsia="en-CA"/>
                      </w:rPr>
                      <m:t>F</m:t>
                    </m:r>
                    <m:sSup>
                      <m:sSupPr>
                        <m:ctrlPr>
                          <w:rPr>
                            <w:rFonts w:ascii="Cambria Math" w:eastAsia="Arial" w:hAnsi="Cambria Math" w:cs="Arial"/>
                            <w:i/>
                            <w:color w:val="000000"/>
                            <w:lang w:eastAsia="en-CA"/>
                          </w:rPr>
                        </m:ctrlPr>
                      </m:sSup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1+i</m:t>
                            </m:r>
                          </m:e>
                        </m:d>
                      </m:e>
                      <m:sup>
                        <m:r>
                          <w:rPr>
                            <w:rFonts w:ascii="Cambria Math" w:eastAsia="Arial" w:hAnsi="Cambria Math" w:cs="Arial"/>
                            <w:color w:val="000000"/>
                            <w:lang w:eastAsia="en-CA"/>
                          </w:rPr>
                          <m:t>n</m:t>
                        </m:r>
                      </m:sup>
                    </m:sSup>
                  </m:den>
                </m:f>
                <m:r>
                  <m:rPr>
                    <m:sty m:val="bi"/>
                  </m:rPr>
                  <w:rPr>
                    <w:rFonts w:ascii="Cambria Math" w:eastAsia="Arial" w:hAnsi="Cambria Math" w:cs="Arial"/>
                    <w:color w:val="000000"/>
                    <w:lang w:eastAsia="en-CA"/>
                  </w:rPr>
                  <m:t>=F</m:t>
                </m:r>
                <m:sSup>
                  <m:sSupPr>
                    <m:ctrlPr>
                      <w:rPr>
                        <w:rFonts w:ascii="Cambria Math" w:eastAsia="Arial" w:hAnsi="Cambria Math" w:cs="Arial"/>
                        <w:b/>
                        <w:bCs/>
                        <w:i/>
                        <w:color w:val="000000"/>
                        <w:lang w:eastAsia="en-CA"/>
                      </w:rPr>
                    </m:ctrlPr>
                  </m:sSupPr>
                  <m:e>
                    <m:d>
                      <m:dPr>
                        <m:ctrlPr>
                          <w:rPr>
                            <w:rFonts w:ascii="Cambria Math" w:eastAsia="Arial" w:hAnsi="Cambria Math" w:cs="Arial"/>
                            <w:b/>
                            <w:bCs/>
                            <w:i/>
                            <w:color w:val="000000"/>
                            <w:lang w:eastAsia="en-CA"/>
                          </w:rPr>
                        </m:ctrlPr>
                      </m:dPr>
                      <m:e>
                        <m:r>
                          <m:rPr>
                            <m:sty m:val="bi"/>
                          </m:rPr>
                          <w:rPr>
                            <w:rFonts w:ascii="Cambria Math" w:eastAsia="Arial" w:hAnsi="Cambria Math" w:cs="Arial"/>
                            <w:color w:val="000000"/>
                            <w:lang w:eastAsia="en-CA"/>
                          </w:rPr>
                          <m:t>1+i</m:t>
                        </m:r>
                      </m:e>
                    </m:d>
                  </m:e>
                  <m:sup>
                    <m:r>
                      <m:rPr>
                        <m:sty m:val="bi"/>
                      </m:rPr>
                      <w:rPr>
                        <w:rFonts w:ascii="Cambria Math" w:eastAsia="Arial" w:hAnsi="Cambria Math" w:cs="Arial"/>
                        <w:color w:val="000000"/>
                        <w:lang w:eastAsia="en-CA"/>
                      </w:rPr>
                      <m:t>-n</m:t>
                    </m:r>
                  </m:sup>
                </m:sSup>
              </m:oMath>
            </m:oMathPara>
          </w:p>
          <w:p w14:paraId="143C0B58"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P: Present of Now (starts form period 0 to the beginning of period 1 in the cash flow diagram)</w:t>
            </w:r>
          </w:p>
          <w:p w14:paraId="5E8BDB06"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F: Future amounts happened at the end period specified</w:t>
            </w:r>
          </w:p>
          <w:p w14:paraId="365E6DE4"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proofErr w:type="spellStart"/>
            <w:r w:rsidRPr="00890E59">
              <w:rPr>
                <w:rFonts w:ascii="Arial" w:eastAsia="Arial" w:hAnsi="Arial" w:cs="Arial"/>
                <w:color w:val="000000"/>
                <w:lang w:eastAsia="en-CA"/>
              </w:rPr>
              <w:t>i</w:t>
            </w:r>
            <w:proofErr w:type="spellEnd"/>
            <w:r w:rsidRPr="00890E59">
              <w:rPr>
                <w:rFonts w:ascii="Arial" w:eastAsia="Arial" w:hAnsi="Arial" w:cs="Arial"/>
                <w:color w:val="000000"/>
                <w:lang w:eastAsia="en-CA"/>
              </w:rPr>
              <w:t>: interest rate</w:t>
            </w:r>
          </w:p>
          <w:p w14:paraId="5FAA8F34"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n: number of years</w:t>
            </w:r>
          </w:p>
          <w:p w14:paraId="2D44B3C1" w14:textId="77777777" w:rsidR="00890E59" w:rsidRPr="00890E59" w:rsidRDefault="00890E59" w:rsidP="00890E59">
            <w:pPr>
              <w:widowControl w:val="0"/>
              <w:pBdr>
                <w:top w:val="nil"/>
                <w:left w:val="nil"/>
                <w:bottom w:val="nil"/>
                <w:right w:val="nil"/>
                <w:between w:val="nil"/>
              </w:pBdr>
              <w:spacing w:after="0" w:line="240" w:lineRule="auto"/>
              <w:rPr>
                <w:rFonts w:ascii="Arial" w:eastAsia="Arial" w:hAnsi="Arial" w:cs="Arial"/>
                <w:color w:val="000000"/>
                <w:lang w:eastAsia="en-CA"/>
              </w:rPr>
            </w:pPr>
            <w:r w:rsidRPr="00890E59">
              <w:rPr>
                <w:rFonts w:ascii="Arial" w:eastAsia="Arial" w:hAnsi="Arial" w:cs="Arial"/>
                <w:color w:val="000000"/>
                <w:lang w:eastAsia="en-CA"/>
              </w:rPr>
              <w:t>A: any event occurs e.g., deposit</w:t>
            </w:r>
          </w:p>
          <w:p w14:paraId="3FB0C23D"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890E59">
              <w:rPr>
                <w:rFonts w:ascii="Arial" w:eastAsia="Arial" w:hAnsi="Arial" w:cs="Arial"/>
                <w:noProof/>
                <w:color w:val="000000"/>
                <w:lang w:eastAsia="en-CA"/>
              </w:rPr>
              <w:drawing>
                <wp:inline distT="0" distB="0" distL="0" distR="0" wp14:anchorId="57D536ED" wp14:editId="675FF468">
                  <wp:extent cx="3200400" cy="1111933"/>
                  <wp:effectExtent l="0" t="0" r="0" b="5715"/>
                  <wp:docPr id="2105197273" name="Picture 1" descr="A close-up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97273" name="Picture 1" descr="A close-up of a calendar&#10;&#10;Description automatically generated"/>
                          <pic:cNvPicPr/>
                        </pic:nvPicPr>
                        <pic:blipFill>
                          <a:blip r:embed="rId25"/>
                          <a:stretch>
                            <a:fillRect/>
                          </a:stretch>
                        </pic:blipFill>
                        <pic:spPr>
                          <a:xfrm>
                            <a:off x="0" y="0"/>
                            <a:ext cx="3278087" cy="1138924"/>
                          </a:xfrm>
                          <a:prstGeom prst="rect">
                            <a:avLst/>
                          </a:prstGeom>
                        </pic:spPr>
                      </pic:pic>
                    </a:graphicData>
                  </a:graphic>
                </wp:inline>
              </w:drawing>
            </w:r>
          </w:p>
          <w:p w14:paraId="7B1870CE" w14:textId="77777777" w:rsidR="00890E59" w:rsidRPr="00890E59" w:rsidRDefault="00890E59" w:rsidP="00E05485">
            <w:pPr>
              <w:widowControl w:val="0"/>
              <w:pBdr>
                <w:top w:val="nil"/>
                <w:left w:val="nil"/>
                <w:bottom w:val="nil"/>
                <w:right w:val="nil"/>
                <w:between w:val="nil"/>
              </w:pBdr>
              <w:spacing w:after="0" w:line="240" w:lineRule="auto"/>
              <w:jc w:val="center"/>
              <w:rPr>
                <w:rFonts w:ascii="Arial" w:eastAsia="Arial" w:hAnsi="Arial" w:cs="Arial"/>
                <w:i/>
                <w:iCs/>
                <w:color w:val="000000"/>
                <w:lang w:eastAsia="en-CA"/>
              </w:rPr>
            </w:pPr>
            <w:r w:rsidRPr="00890E59">
              <w:rPr>
                <w:rFonts w:ascii="Arial" w:eastAsia="Arial" w:hAnsi="Arial" w:cs="Arial"/>
                <w:i/>
                <w:iCs/>
                <w:color w:val="000000"/>
                <w:lang w:eastAsia="en-CA"/>
              </w:rPr>
              <w:t>Fig.-</w:t>
            </w:r>
            <w:r w:rsidRPr="00890E59">
              <w:rPr>
                <w:rFonts w:ascii="Arial" w:eastAsia="Arial" w:hAnsi="Arial" w:cs="Arial"/>
                <w:i/>
                <w:iCs/>
                <w:color w:val="000000"/>
                <w:lang w:eastAsia="en-CA"/>
              </w:rPr>
              <w:fldChar w:fldCharType="begin"/>
            </w:r>
            <w:r w:rsidRPr="00890E59">
              <w:rPr>
                <w:rFonts w:ascii="Arial" w:eastAsia="Arial" w:hAnsi="Arial" w:cs="Arial"/>
                <w:i/>
                <w:iCs/>
                <w:color w:val="000000"/>
                <w:lang w:eastAsia="en-CA"/>
              </w:rPr>
              <w:instrText xml:space="preserve"> SEQ Figure \* ARABIC </w:instrText>
            </w:r>
            <w:r w:rsidRPr="00890E59">
              <w:rPr>
                <w:rFonts w:ascii="Arial" w:eastAsia="Arial" w:hAnsi="Arial" w:cs="Arial"/>
                <w:i/>
                <w:iCs/>
                <w:color w:val="000000"/>
                <w:lang w:eastAsia="en-CA"/>
              </w:rPr>
              <w:fldChar w:fldCharType="separate"/>
            </w:r>
            <w:r w:rsidRPr="00890E59">
              <w:rPr>
                <w:rFonts w:ascii="Arial" w:eastAsia="Arial" w:hAnsi="Arial" w:cs="Arial"/>
                <w:i/>
                <w:iCs/>
                <w:color w:val="000000"/>
                <w:lang w:eastAsia="en-CA"/>
              </w:rPr>
              <w:t>2</w:t>
            </w:r>
            <w:r w:rsidRPr="00890E59">
              <w:rPr>
                <w:rFonts w:ascii="Arial" w:eastAsia="Arial" w:hAnsi="Arial" w:cs="Arial"/>
                <w:color w:val="000000"/>
                <w:lang w:eastAsia="en-CA"/>
              </w:rPr>
              <w:fldChar w:fldCharType="end"/>
            </w:r>
            <w:r w:rsidRPr="00890E59">
              <w:rPr>
                <w:rFonts w:ascii="Arial" w:eastAsia="Arial" w:hAnsi="Arial" w:cs="Arial"/>
                <w:i/>
                <w:iCs/>
                <w:color w:val="000000"/>
                <w:lang w:eastAsia="en-CA"/>
              </w:rPr>
              <w:t xml:space="preserve"> Cash Flow Diagram</w:t>
            </w:r>
          </w:p>
          <w:p w14:paraId="1F9566C9" w14:textId="77777777" w:rsidR="00890E59" w:rsidRDefault="00890E59" w:rsidP="004E00B0">
            <w:pPr>
              <w:widowControl w:val="0"/>
              <w:pBdr>
                <w:top w:val="nil"/>
                <w:left w:val="nil"/>
                <w:bottom w:val="nil"/>
                <w:right w:val="nil"/>
                <w:between w:val="nil"/>
              </w:pBdr>
              <w:spacing w:after="0" w:line="240" w:lineRule="auto"/>
              <w:rPr>
                <w:rFonts w:ascii="Arial" w:eastAsia="Arial" w:hAnsi="Arial" w:cs="Arial"/>
                <w:color w:val="000000"/>
                <w:lang w:eastAsia="en-CA"/>
              </w:rPr>
            </w:pPr>
          </w:p>
          <w:p w14:paraId="50D41462"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Study process:</w:t>
            </w:r>
          </w:p>
          <w:p w14:paraId="731EC904" w14:textId="77777777" w:rsid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considering a case of a student who is receiving Student Loans from the Canadian government and uses that fund for five classes per semester. </w:t>
            </w:r>
          </w:p>
          <w:p w14:paraId="5BE49E72" w14:textId="77777777" w:rsidR="00941D72" w:rsidRPr="00197E82" w:rsidRDefault="00941D72" w:rsidP="00197E82">
            <w:pPr>
              <w:widowControl w:val="0"/>
              <w:pBdr>
                <w:top w:val="nil"/>
                <w:left w:val="nil"/>
                <w:bottom w:val="nil"/>
                <w:right w:val="nil"/>
                <w:between w:val="nil"/>
              </w:pBdr>
              <w:spacing w:after="0" w:line="240" w:lineRule="auto"/>
              <w:rPr>
                <w:rFonts w:ascii="Arial" w:eastAsia="Arial" w:hAnsi="Arial" w:cs="Arial"/>
                <w:color w:val="000000"/>
                <w:lang w:eastAsia="en-CA"/>
              </w:rPr>
            </w:pPr>
          </w:p>
          <w:p w14:paraId="7F12A159"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Interest rate of Student Loans:</w:t>
            </w:r>
          </w:p>
          <w:p w14:paraId="08C4E020" w14:textId="00E50034"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Federal Student Loans:</w:t>
            </w:r>
          </w:p>
          <w:p w14:paraId="03D6EACB" w14:textId="77777777" w:rsidR="00197E82" w:rsidRPr="00197E82" w:rsidRDefault="00197E82" w:rsidP="00197E82">
            <w:pPr>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Fixed Interest Rate</w:t>
            </w:r>
            <w:r w:rsidRPr="00197E82">
              <w:rPr>
                <w:rFonts w:ascii="Arial" w:eastAsia="Arial" w:hAnsi="Arial" w:cs="Arial"/>
                <w:color w:val="000000"/>
                <w:lang w:eastAsia="en-CA"/>
              </w:rPr>
              <w:t>: The fixed interest rate is Prime Rate + 2%.</w:t>
            </w:r>
          </w:p>
          <w:p w14:paraId="66FA25F1" w14:textId="77777777" w:rsidR="00197E82" w:rsidRDefault="00197E82" w:rsidP="00197E82">
            <w:pPr>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b/>
                <w:bCs/>
                <w:color w:val="000000"/>
                <w:lang w:eastAsia="en-CA"/>
              </w:rPr>
              <w:t>Floating Interest Rate</w:t>
            </w:r>
            <w:r w:rsidRPr="00197E82">
              <w:rPr>
                <w:rFonts w:ascii="Arial" w:eastAsia="Arial" w:hAnsi="Arial" w:cs="Arial"/>
                <w:color w:val="000000"/>
                <w:lang w:eastAsia="en-CA"/>
              </w:rPr>
              <w:t>: The floating interest rate is Prime Rate + 0%.</w:t>
            </w:r>
          </w:p>
          <w:p w14:paraId="2C77CDEA" w14:textId="77777777" w:rsidR="00F42B7A" w:rsidRPr="00F42B7A" w:rsidRDefault="00F42B7A" w:rsidP="00F42B7A">
            <w:pPr>
              <w:widowControl w:val="0"/>
              <w:numPr>
                <w:ilvl w:val="0"/>
                <w:numId w:val="1"/>
              </w:numPr>
              <w:pBdr>
                <w:top w:val="nil"/>
                <w:left w:val="nil"/>
                <w:bottom w:val="nil"/>
                <w:right w:val="nil"/>
                <w:between w:val="nil"/>
              </w:pBdr>
              <w:spacing w:after="0" w:line="240" w:lineRule="auto"/>
              <w:rPr>
                <w:rFonts w:ascii="Arial" w:eastAsia="Arial" w:hAnsi="Arial" w:cs="Arial"/>
                <w:color w:val="000000"/>
                <w:lang w:eastAsia="en-CA"/>
              </w:rPr>
            </w:pPr>
            <w:r w:rsidRPr="00F42B7A">
              <w:rPr>
                <w:rFonts w:ascii="Arial" w:eastAsia="Arial" w:hAnsi="Arial" w:cs="Arial"/>
                <w:color w:val="000000"/>
                <w:lang w:eastAsia="en-CA"/>
              </w:rPr>
              <w:t>Resources:</w:t>
            </w:r>
          </w:p>
          <w:p w14:paraId="0B235191" w14:textId="178B0799" w:rsidR="00F42B7A" w:rsidRPr="00F42B7A" w:rsidRDefault="00F42B7A" w:rsidP="00F42B7A">
            <w:pPr>
              <w:widowControl w:val="0"/>
              <w:numPr>
                <w:ilvl w:val="1"/>
                <w:numId w:val="1"/>
              </w:numPr>
              <w:pBdr>
                <w:top w:val="nil"/>
                <w:left w:val="nil"/>
                <w:bottom w:val="nil"/>
                <w:right w:val="nil"/>
                <w:between w:val="nil"/>
              </w:pBdr>
              <w:spacing w:after="0" w:line="240" w:lineRule="auto"/>
              <w:rPr>
                <w:rFonts w:ascii="Arial" w:eastAsia="Arial" w:hAnsi="Arial" w:cs="Arial"/>
                <w:color w:val="000000"/>
                <w:lang w:eastAsia="en-CA"/>
              </w:rPr>
            </w:pPr>
            <w:r w:rsidRPr="00F42B7A">
              <w:rPr>
                <w:rFonts w:ascii="Arial" w:eastAsia="Arial" w:hAnsi="Arial" w:cs="Arial"/>
                <w:color w:val="000000"/>
                <w:lang w:eastAsia="en-CA"/>
              </w:rPr>
              <w:t xml:space="preserve">CBC News. “Graduating this year? Here's what you need to know about repaying your student loans.”. May 30, 2023 2:00 AM CST | Last Updated: May 30, 2023. </w:t>
            </w:r>
            <w:hyperlink r:id="rId26" w:history="1">
              <w:r w:rsidRPr="00A80BC3">
                <w:rPr>
                  <w:rStyle w:val="Hyperlink"/>
                  <w:rFonts w:ascii="Arial" w:eastAsia="Arial" w:hAnsi="Arial" w:cs="Arial"/>
                  <w:lang w:eastAsia="en-CA"/>
                </w:rPr>
                <w:t>https://www.cbc.ca/news/business/canada-student-loans-repayment-tips-1.6858596</w:t>
              </w:r>
            </w:hyperlink>
            <w:r>
              <w:rPr>
                <w:rFonts w:ascii="Arial" w:eastAsia="Arial" w:hAnsi="Arial" w:cs="Arial"/>
                <w:color w:val="000000"/>
                <w:lang w:eastAsia="en-CA"/>
              </w:rPr>
              <w:t xml:space="preserve"> </w:t>
            </w:r>
            <w:r w:rsidRPr="00F42B7A">
              <w:rPr>
                <w:rFonts w:ascii="Arial" w:eastAsia="Arial" w:hAnsi="Arial" w:cs="Arial"/>
                <w:color w:val="000000"/>
                <w:lang w:eastAsia="en-CA"/>
              </w:rPr>
              <w:t xml:space="preserve"> </w:t>
            </w:r>
          </w:p>
          <w:p w14:paraId="43D0DA84" w14:textId="7E4AE923" w:rsidR="00F42B7A" w:rsidRPr="00197E82" w:rsidRDefault="00F42B7A" w:rsidP="00F42B7A">
            <w:pPr>
              <w:widowControl w:val="0"/>
              <w:numPr>
                <w:ilvl w:val="1"/>
                <w:numId w:val="1"/>
              </w:numPr>
              <w:pBdr>
                <w:top w:val="nil"/>
                <w:left w:val="nil"/>
                <w:bottom w:val="nil"/>
                <w:right w:val="nil"/>
                <w:between w:val="nil"/>
              </w:pBdr>
              <w:spacing w:after="0" w:line="240" w:lineRule="auto"/>
              <w:rPr>
                <w:rFonts w:ascii="Arial" w:eastAsia="Arial" w:hAnsi="Arial" w:cs="Arial"/>
                <w:color w:val="000000"/>
                <w:lang w:eastAsia="en-CA"/>
              </w:rPr>
            </w:pPr>
            <w:r w:rsidRPr="00F42B7A">
              <w:rPr>
                <w:rFonts w:ascii="Arial" w:eastAsia="Arial" w:hAnsi="Arial" w:cs="Arial"/>
                <w:color w:val="000000"/>
                <w:lang w:eastAsia="en-CA"/>
              </w:rPr>
              <w:t xml:space="preserve">Saskatchewan Province. “Repay Your Student Loan.” </w:t>
            </w:r>
            <w:hyperlink r:id="rId27" w:history="1">
              <w:r w:rsidRPr="00A80BC3">
                <w:rPr>
                  <w:rStyle w:val="Hyperlink"/>
                  <w:rFonts w:ascii="Arial" w:eastAsia="Arial" w:hAnsi="Arial" w:cs="Arial"/>
                  <w:lang w:eastAsia="en-CA"/>
                </w:rPr>
                <w:t>https://www.saskatchewan.ca/residents/education-and-learning/student-loans/after-you-apply/repay-your-student-</w:t>
              </w:r>
              <w:r w:rsidRPr="00A80BC3">
                <w:rPr>
                  <w:rStyle w:val="Hyperlink"/>
                  <w:rFonts w:ascii="Arial" w:eastAsia="Arial" w:hAnsi="Arial" w:cs="Arial"/>
                  <w:lang w:eastAsia="en-CA"/>
                </w:rPr>
                <w:lastRenderedPageBreak/>
                <w:t>loan</w:t>
              </w:r>
            </w:hyperlink>
            <w:r>
              <w:rPr>
                <w:rFonts w:ascii="Arial" w:eastAsia="Arial" w:hAnsi="Arial" w:cs="Arial"/>
                <w:color w:val="000000"/>
                <w:lang w:eastAsia="en-CA"/>
              </w:rPr>
              <w:t xml:space="preserve"> </w:t>
            </w:r>
          </w:p>
          <w:p w14:paraId="258E713C"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Provincial Student Loans:</w:t>
            </w:r>
          </w:p>
          <w:p w14:paraId="649AC6BD" w14:textId="77777777" w:rsidR="00197E82" w:rsidRPr="00197E82" w:rsidRDefault="00197E82" w:rsidP="00197E82">
            <w:pPr>
              <w:widowControl w:val="0"/>
              <w:numPr>
                <w:ilvl w:val="0"/>
                <w:numId w:val="2"/>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interest rate can vary depending on the province. Some provinces may offer interest-free loans, while others may have interest rates that are different from the federal rates.</w:t>
            </w:r>
          </w:p>
          <w:p w14:paraId="20C7267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Example:</w:t>
            </w:r>
          </w:p>
          <w:p w14:paraId="131C5D7C" w14:textId="49405D91"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Currently the Prime Rate is 7.2%, then:</w:t>
            </w:r>
          </w:p>
          <w:p w14:paraId="423B09E1" w14:textId="77777777" w:rsidR="00197E82" w:rsidRPr="00197E82" w:rsidRDefault="00197E82" w:rsidP="00197E82">
            <w:pPr>
              <w:widowControl w:val="0"/>
              <w:numPr>
                <w:ilvl w:val="0"/>
                <w:numId w:val="3"/>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fixed interest rate would be 9.2% (7.2% + 2%).</w:t>
            </w:r>
          </w:p>
          <w:p w14:paraId="6DF6E08A" w14:textId="77777777" w:rsidR="00197E82" w:rsidRDefault="00197E82" w:rsidP="00197E82">
            <w:pPr>
              <w:widowControl w:val="0"/>
              <w:numPr>
                <w:ilvl w:val="0"/>
                <w:numId w:val="3"/>
              </w:numPr>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floating interest rate would be 7.2% (7.2% + 0%).</w:t>
            </w:r>
          </w:p>
          <w:p w14:paraId="048B0F87" w14:textId="77777777" w:rsidR="00117A0F" w:rsidRPr="00117A0F" w:rsidRDefault="00117A0F" w:rsidP="00117A0F">
            <w:pPr>
              <w:widowControl w:val="0"/>
              <w:numPr>
                <w:ilvl w:val="0"/>
                <w:numId w:val="3"/>
              </w:numPr>
              <w:pBdr>
                <w:top w:val="nil"/>
                <w:left w:val="nil"/>
                <w:bottom w:val="nil"/>
                <w:right w:val="nil"/>
                <w:between w:val="nil"/>
              </w:pBdr>
              <w:spacing w:after="0" w:line="240" w:lineRule="auto"/>
              <w:rPr>
                <w:rFonts w:ascii="Arial" w:eastAsia="Arial" w:hAnsi="Arial" w:cs="Arial"/>
                <w:color w:val="000000"/>
                <w:lang w:eastAsia="en-CA"/>
              </w:rPr>
            </w:pPr>
            <w:r w:rsidRPr="00117A0F">
              <w:rPr>
                <w:rFonts w:ascii="Arial" w:eastAsia="Arial" w:hAnsi="Arial" w:cs="Arial"/>
                <w:color w:val="000000"/>
                <w:lang w:eastAsia="en-CA"/>
              </w:rPr>
              <w:t>Resources:</w:t>
            </w:r>
          </w:p>
          <w:p w14:paraId="06C1713C" w14:textId="22E76377" w:rsidR="00117A0F" w:rsidRPr="00197E82" w:rsidRDefault="00117A0F" w:rsidP="00117A0F">
            <w:pPr>
              <w:widowControl w:val="0"/>
              <w:numPr>
                <w:ilvl w:val="1"/>
                <w:numId w:val="3"/>
              </w:numPr>
              <w:pBdr>
                <w:top w:val="nil"/>
                <w:left w:val="nil"/>
                <w:bottom w:val="nil"/>
                <w:right w:val="nil"/>
                <w:between w:val="nil"/>
              </w:pBdr>
              <w:spacing w:after="0" w:line="240" w:lineRule="auto"/>
              <w:rPr>
                <w:rFonts w:ascii="Arial" w:eastAsia="Arial" w:hAnsi="Arial" w:cs="Arial"/>
                <w:color w:val="000000"/>
                <w:lang w:eastAsia="en-CA"/>
              </w:rPr>
            </w:pPr>
            <w:r w:rsidRPr="00117A0F">
              <w:rPr>
                <w:rFonts w:ascii="Arial" w:eastAsia="Arial" w:hAnsi="Arial" w:cs="Arial"/>
                <w:color w:val="000000"/>
                <w:lang w:eastAsia="en-CA"/>
              </w:rPr>
              <w:t xml:space="preserve">Government of Canada. “Loan Repayment Estimator.” </w:t>
            </w:r>
            <w:hyperlink r:id="rId28" w:history="1">
              <w:r w:rsidRPr="00A80BC3">
                <w:rPr>
                  <w:rStyle w:val="Hyperlink"/>
                  <w:rFonts w:ascii="Arial" w:eastAsia="Arial" w:hAnsi="Arial" w:cs="Arial"/>
                  <w:lang w:eastAsia="en-CA"/>
                </w:rPr>
                <w:t>https://tools.canlearn.ca/cslgs-scpse/cln-cln/crp-lrc/af.nlindex-eng.do</w:t>
              </w:r>
            </w:hyperlink>
            <w:r>
              <w:rPr>
                <w:rFonts w:ascii="Arial" w:eastAsia="Arial" w:hAnsi="Arial" w:cs="Arial"/>
                <w:color w:val="000000"/>
                <w:lang w:eastAsia="en-CA"/>
              </w:rPr>
              <w:t xml:space="preserve"> </w:t>
            </w:r>
          </w:p>
          <w:p w14:paraId="33110C3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p>
          <w:p w14:paraId="300F4E9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Cost per semester:</w:t>
            </w:r>
          </w:p>
          <w:p w14:paraId="56479754"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estimating the cost of five classes per semester at </w:t>
            </w:r>
            <w:proofErr w:type="spellStart"/>
            <w:r w:rsidRPr="00197E82">
              <w:rPr>
                <w:rFonts w:ascii="Arial" w:eastAsia="Arial" w:hAnsi="Arial" w:cs="Arial"/>
                <w:color w:val="000000"/>
                <w:lang w:eastAsia="en-CA"/>
              </w:rPr>
              <w:t>UoR</w:t>
            </w:r>
            <w:proofErr w:type="spellEnd"/>
            <w:r w:rsidRPr="00197E82">
              <w:rPr>
                <w:rFonts w:ascii="Arial" w:eastAsia="Arial" w:hAnsi="Arial" w:cs="Arial"/>
                <w:color w:val="000000"/>
                <w:lang w:eastAsia="en-CA"/>
              </w:rPr>
              <w:t xml:space="preserve"> for a Canadian/PR student as much as or close to $5000 (</w:t>
            </w:r>
            <w:r w:rsidRPr="00197E82">
              <w:rPr>
                <w:rFonts w:ascii="Arial" w:eastAsia="Arial" w:hAnsi="Arial" w:cs="Arial"/>
                <w:i/>
                <w:iCs/>
                <w:color w:val="000000"/>
                <w:lang w:eastAsia="en-CA"/>
              </w:rPr>
              <w:t>self-experience</w:t>
            </w:r>
            <w:r w:rsidRPr="00197E82">
              <w:rPr>
                <w:rFonts w:ascii="Arial" w:eastAsia="Arial" w:hAnsi="Arial" w:cs="Arial"/>
                <w:color w:val="000000"/>
                <w:lang w:eastAsia="en-CA"/>
              </w:rPr>
              <w:t>).</w:t>
            </w:r>
          </w:p>
          <w:p w14:paraId="1385577F"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Now, we will calculate the cost of two years period in two cases: without failing courses and with failing courses.</w:t>
            </w:r>
          </w:p>
          <w:p w14:paraId="7D7A5EC7"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The cost of </w:t>
            </w:r>
            <w:r w:rsidRPr="00197E82">
              <w:rPr>
                <w:rFonts w:ascii="Arial" w:eastAsia="Arial" w:hAnsi="Arial" w:cs="Arial"/>
                <w:color w:val="000000"/>
                <w:u w:val="single"/>
                <w:lang w:eastAsia="en-CA"/>
              </w:rPr>
              <w:t>failing free</w:t>
            </w:r>
            <w:r w:rsidRPr="00197E82">
              <w:rPr>
                <w:rFonts w:ascii="Arial" w:eastAsia="Arial" w:hAnsi="Arial" w:cs="Arial"/>
                <w:color w:val="000000"/>
                <w:lang w:eastAsia="en-CA"/>
              </w:rPr>
              <w:t xml:space="preserve"> courses:</w:t>
            </w:r>
          </w:p>
          <w:p w14:paraId="5A92E89C"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We are assuming the case of failing two courses per year. </w:t>
            </w:r>
          </w:p>
          <w:p w14:paraId="50F28D4D"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i/>
                <w:iCs/>
                <w:color w:val="000000"/>
                <w:lang w:eastAsia="en-CA"/>
              </w:rPr>
            </w:pPr>
            <w:r w:rsidRPr="00197E82">
              <w:rPr>
                <w:rFonts w:ascii="Arial" w:eastAsia="Arial" w:hAnsi="Arial" w:cs="Arial"/>
                <w:i/>
                <w:iCs/>
                <w:color w:val="000000"/>
                <w:lang w:eastAsia="en-CA"/>
              </w:rPr>
              <w:t>The fact is the course itself costs around $700 (self-experience).</w:t>
            </w:r>
          </w:p>
          <w:p w14:paraId="04239AA5" w14:textId="36FC61FA" w:rsidR="00197E82" w:rsidRPr="00197E82" w:rsidRDefault="00197E82" w:rsidP="00ED341E">
            <w:pPr>
              <w:widowControl w:val="0"/>
              <w:pBdr>
                <w:top w:val="nil"/>
                <w:left w:val="nil"/>
                <w:bottom w:val="nil"/>
                <w:right w:val="nil"/>
                <w:between w:val="nil"/>
              </w:pBdr>
              <w:spacing w:after="0" w:line="240" w:lineRule="auto"/>
              <w:rPr>
                <w:rFonts w:ascii="Arial" w:eastAsia="Arial" w:hAnsi="Arial" w:cs="Arial"/>
                <w:color w:val="000000"/>
                <w:lang w:eastAsia="en-CA"/>
              </w:rPr>
            </w:pPr>
            <m:oMathPara>
              <m:oMathParaPr>
                <m:jc m:val="left"/>
              </m:oMathParaPr>
              <m:oMath>
                <m:r>
                  <w:rPr>
                    <w:rFonts w:ascii="Cambria Math" w:eastAsia="Arial" w:hAnsi="Cambria Math" w:cs="Arial"/>
                    <w:color w:val="000000"/>
                    <w:lang w:eastAsia="en-CA"/>
                  </w:rPr>
                  <m:t>PW of benefits=</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e>
                </m:d>
                <m:d>
                  <m:dPr>
                    <m:ctrlPr>
                      <w:rPr>
                        <w:rFonts w:ascii="Cambria Math" w:eastAsia="Arial" w:hAnsi="Cambria Math" w:cs="Arial"/>
                        <w:i/>
                        <w:color w:val="000000"/>
                        <w:lang w:eastAsia="en-CA"/>
                      </w:rPr>
                    </m:ctrlPr>
                  </m:dPr>
                  <m:e>
                    <m:f>
                      <m:fPr>
                        <m:type m:val="lin"/>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oMath>
            </m:oMathPara>
          </w:p>
          <w:p w14:paraId="64F04CFC" w14:textId="5C7EED33" w:rsidR="00197E82" w:rsidRPr="00197E82" w:rsidRDefault="00197E82" w:rsidP="00ED341E">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                          </w:t>
            </w:r>
            <m:oMath>
              <m:r>
                <w:rPr>
                  <w:rFonts w:ascii="Cambria Math" w:eastAsia="Arial" w:hAnsi="Cambria Math" w:cs="Arial"/>
                  <w:color w:val="000000"/>
                  <w:lang w:eastAsia="en-CA"/>
                </w:rPr>
                <m:t>≈$30,000+$25,158</m:t>
              </m:r>
              <m:r>
                <m:rPr>
                  <m:sty m:val="p"/>
                </m:rPr>
                <w:rPr>
                  <w:rFonts w:ascii="Cambria Math" w:eastAsia="Arial" w:hAnsi="Cambria Math" w:cs="Arial"/>
                  <w:color w:val="000000"/>
                  <w:lang w:eastAsia="en-CA"/>
                </w:rPr>
                <w:br/>
              </m:r>
            </m:oMath>
            <m:oMathPara>
              <m:oMathParaPr>
                <m:jc m:val="left"/>
              </m:oMathParaPr>
              <m:oMath>
                <m:r>
                  <m:rPr>
                    <m:sty m:val="p"/>
                  </m:rPr>
                  <w:rPr>
                    <w:rFonts w:ascii="Cambria Math" w:eastAsia="Arial" w:hAnsi="Cambria Math" w:cs="Arial"/>
                    <w:color w:val="000000"/>
                    <w:lang w:eastAsia="en-CA"/>
                  </w:rPr>
                  <m:t xml:space="preserve">                                 </m:t>
                </m:r>
                <m:r>
                  <w:rPr>
                    <w:rFonts w:ascii="Cambria Math" w:eastAsia="Arial" w:hAnsi="Cambria Math" w:cs="Arial"/>
                    <w:color w:val="000000"/>
                    <w:lang w:eastAsia="en-CA"/>
                  </w:rPr>
                  <m:t>≈</m:t>
                </m:r>
                <m:r>
                  <m:rPr>
                    <m:sty m:val="bi"/>
                  </m:rPr>
                  <w:rPr>
                    <w:rFonts w:ascii="Cambria Math" w:eastAsia="Arial" w:hAnsi="Cambria Math" w:cs="Arial"/>
                    <w:color w:val="000000"/>
                    <w:lang w:eastAsia="en-CA"/>
                  </w:rPr>
                  <m:t>$55,158</m:t>
                </m:r>
              </m:oMath>
            </m:oMathPara>
          </w:p>
          <w:p w14:paraId="71C63D5B"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 xml:space="preserve">The cost </w:t>
            </w:r>
            <w:r w:rsidRPr="00197E82">
              <w:rPr>
                <w:rFonts w:ascii="Arial" w:eastAsia="Arial" w:hAnsi="Arial" w:cs="Arial"/>
                <w:color w:val="000000"/>
                <w:u w:val="single"/>
                <w:lang w:eastAsia="en-CA"/>
              </w:rPr>
              <w:t>with failing</w:t>
            </w:r>
            <w:r w:rsidRPr="00197E82">
              <w:rPr>
                <w:rFonts w:ascii="Arial" w:eastAsia="Arial" w:hAnsi="Arial" w:cs="Arial"/>
                <w:color w:val="000000"/>
                <w:lang w:eastAsia="en-CA"/>
              </w:rPr>
              <w:t xml:space="preserve"> courses:</w:t>
            </w:r>
          </w:p>
          <w:p w14:paraId="5D2CB5C8" w14:textId="1BCE18EF"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m:oMathPara>
              <m:oMathParaPr>
                <m:jc m:val="left"/>
              </m:oMathParaPr>
              <m:oMath>
                <m:r>
                  <w:rPr>
                    <w:rFonts w:ascii="Cambria Math" w:eastAsia="Arial" w:hAnsi="Cambria Math" w:cs="Arial"/>
                    <w:color w:val="000000"/>
                    <w:lang w:eastAsia="en-CA"/>
                  </w:rPr>
                  <m:t>PW of cost=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r>
                          <w:rPr>
                            <w:rFonts w:ascii="Cambria Math" w:eastAsia="Arial" w:hAnsi="Cambria Math" w:cs="Arial"/>
                            <w:color w:val="000000"/>
                            <w:lang w:eastAsia="en-CA"/>
                          </w:rPr>
                          <m:t>$700×4</m:t>
                        </m:r>
                      </m:e>
                    </m:d>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d>
                      <m:dPr>
                        <m:ctrlPr>
                          <w:rPr>
                            <w:rFonts w:ascii="Cambria Math" w:eastAsia="Arial" w:hAnsi="Cambria Math" w:cs="Arial"/>
                            <w:i/>
                            <w:color w:val="000000"/>
                            <w:lang w:eastAsia="en-CA"/>
                          </w:rPr>
                        </m:ctrlPr>
                      </m:dPr>
                      <m:e>
                        <m:r>
                          <w:rPr>
                            <w:rFonts w:ascii="Cambria Math" w:eastAsia="Arial" w:hAnsi="Cambria Math" w:cs="Arial"/>
                            <w:color w:val="000000"/>
                            <w:lang w:eastAsia="en-CA"/>
                          </w:rPr>
                          <m:t>$5,000 ×6</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r>
                          <w:rPr>
                            <w:rFonts w:ascii="Cambria Math" w:eastAsia="Arial" w:hAnsi="Cambria Math" w:cs="Arial"/>
                            <w:color w:val="000000"/>
                            <w:lang w:eastAsia="en-CA"/>
                          </w:rPr>
                          <m:t>$700×4</m:t>
                        </m:r>
                      </m:e>
                    </m:d>
                  </m:e>
                </m:d>
                <m:d>
                  <m:dPr>
                    <m:ctrlPr>
                      <w:rPr>
                        <w:rFonts w:ascii="Cambria Math" w:eastAsia="Arial" w:hAnsi="Cambria Math" w:cs="Arial"/>
                        <w:i/>
                        <w:color w:val="000000"/>
                        <w:lang w:eastAsia="en-CA"/>
                      </w:rPr>
                    </m:ctrlPr>
                  </m:dPr>
                  <m:e>
                    <m:f>
                      <m:fPr>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d>
                  <m:dPr>
                    <m:begChr m:val="["/>
                    <m:endChr m:val="]"/>
                    <m:ctrlPr>
                      <w:rPr>
                        <w:rFonts w:ascii="Cambria Math" w:eastAsia="Arial" w:hAnsi="Cambria Math" w:cs="Arial"/>
                        <w:i/>
                        <w:color w:val="000000"/>
                        <w:lang w:eastAsia="en-CA"/>
                      </w:rPr>
                    </m:ctrlPr>
                  </m:dPr>
                  <m:e>
                    <m:r>
                      <w:rPr>
                        <w:rFonts w:ascii="Cambria Math" w:eastAsia="Arial" w:hAnsi="Cambria Math" w:cs="Arial"/>
                        <w:color w:val="000000"/>
                        <w:lang w:eastAsia="en-CA"/>
                      </w:rPr>
                      <m:t>$32,800</m:t>
                    </m:r>
                  </m:e>
                </m:d>
                <m:r>
                  <w:rPr>
                    <w:rFonts w:ascii="Cambria Math" w:eastAsia="Arial" w:hAnsi="Cambria Math" w:cs="Arial"/>
                    <w:color w:val="000000"/>
                    <w:lang w:eastAsia="en-CA"/>
                  </w:rPr>
                  <m:t>+</m:t>
                </m:r>
                <m:d>
                  <m:dPr>
                    <m:begChr m:val="["/>
                    <m:endChr m:val="]"/>
                    <m:ctrlPr>
                      <w:rPr>
                        <w:rFonts w:ascii="Cambria Math" w:eastAsia="Arial" w:hAnsi="Cambria Math" w:cs="Arial"/>
                        <w:i/>
                        <w:color w:val="000000"/>
                        <w:lang w:eastAsia="en-CA"/>
                      </w:rPr>
                    </m:ctrlPr>
                  </m:dPr>
                  <m:e>
                    <m:r>
                      <w:rPr>
                        <w:rFonts w:ascii="Cambria Math" w:eastAsia="Arial" w:hAnsi="Cambria Math" w:cs="Arial"/>
                        <w:color w:val="000000"/>
                        <w:lang w:eastAsia="en-CA"/>
                      </w:rPr>
                      <m:t>$32,800</m:t>
                    </m:r>
                  </m:e>
                </m:d>
                <m:r>
                  <w:rPr>
                    <w:rFonts w:ascii="Cambria Math" w:eastAsia="Arial" w:hAnsi="Cambria Math" w:cs="Arial"/>
                    <w:color w:val="000000"/>
                    <w:lang w:eastAsia="en-CA"/>
                  </w:rPr>
                  <m:t>×</m:t>
                </m:r>
                <m:d>
                  <m:dPr>
                    <m:ctrlPr>
                      <w:rPr>
                        <w:rFonts w:ascii="Cambria Math" w:eastAsia="Arial" w:hAnsi="Cambria Math" w:cs="Arial"/>
                        <w:i/>
                        <w:color w:val="000000"/>
                        <w:lang w:eastAsia="en-CA"/>
                      </w:rPr>
                    </m:ctrlPr>
                  </m:dPr>
                  <m:e>
                    <m:f>
                      <m:fPr>
                        <m:type m:val="lin"/>
                        <m:ctrlPr>
                          <w:rPr>
                            <w:rFonts w:ascii="Cambria Math" w:eastAsia="Arial" w:hAnsi="Cambria Math" w:cs="Arial"/>
                            <w:i/>
                            <w:color w:val="000000"/>
                            <w:lang w:eastAsia="en-CA"/>
                          </w:rPr>
                        </m:ctrlPr>
                      </m:fPr>
                      <m:num>
                        <m:r>
                          <w:rPr>
                            <w:rFonts w:ascii="Cambria Math" w:eastAsia="Arial" w:hAnsi="Cambria Math" w:cs="Arial"/>
                            <w:color w:val="000000"/>
                            <w:lang w:eastAsia="en-CA"/>
                          </w:rPr>
                          <m:t>P</m:t>
                        </m:r>
                      </m:num>
                      <m:den>
                        <m:r>
                          <w:rPr>
                            <w:rFonts w:ascii="Cambria Math" w:eastAsia="Arial" w:hAnsi="Cambria Math" w:cs="Arial"/>
                            <w:color w:val="000000"/>
                            <w:lang w:eastAsia="en-CA"/>
                          </w:rPr>
                          <m:t>F</m:t>
                        </m:r>
                      </m:den>
                    </m:f>
                    <m:r>
                      <w:rPr>
                        <w:rFonts w:ascii="Cambria Math" w:eastAsia="Arial" w:hAnsi="Cambria Math" w:cs="Arial"/>
                        <w:color w:val="000000"/>
                        <w:lang w:eastAsia="en-CA"/>
                      </w:rPr>
                      <m:t>,9.2%,2</m:t>
                    </m:r>
                  </m:e>
                </m:d>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≈$32,800+$32,348</m:t>
                </m:r>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r>
                  <m:rPr>
                    <m:sty m:val="bi"/>
                  </m:rPr>
                  <w:rPr>
                    <w:rFonts w:ascii="Cambria Math" w:eastAsia="Arial" w:hAnsi="Cambria Math" w:cs="Arial"/>
                    <w:color w:val="000000"/>
                    <w:lang w:eastAsia="en-CA"/>
                  </w:rPr>
                  <m:t>65,148</m:t>
                </m:r>
              </m:oMath>
            </m:oMathPara>
          </w:p>
          <w:p w14:paraId="17469EE3"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p>
          <w:p w14:paraId="0B4A2D28"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w:r w:rsidRPr="00197E82">
              <w:rPr>
                <w:rFonts w:ascii="Arial" w:eastAsia="Arial" w:hAnsi="Arial" w:cs="Arial"/>
                <w:b/>
                <w:bCs/>
                <w:color w:val="000000"/>
                <w:lang w:eastAsia="en-CA"/>
              </w:rPr>
              <w:t>Conclusion of the Study:</w:t>
            </w:r>
          </w:p>
          <w:p w14:paraId="37B2FDF8" w14:textId="187C986C"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b/>
                <w:bCs/>
                <w:color w:val="000000"/>
                <w:lang w:eastAsia="en-CA"/>
              </w:rPr>
            </w:pPr>
            <m:oMathPara>
              <m:oMath>
                <m:r>
                  <m:rPr>
                    <m:sty m:val="bi"/>
                  </m:rPr>
                  <w:rPr>
                    <w:rFonts w:ascii="Cambria Math" w:eastAsia="Arial" w:hAnsi="Cambria Math" w:cs="Arial"/>
                    <w:color w:val="000000"/>
                    <w:lang w:eastAsia="en-CA"/>
                  </w:rPr>
                  <m:t>NPW=PW of benefits- PW of costs</m:t>
                </m:r>
              </m:oMath>
            </m:oMathPara>
          </w:p>
          <w:p w14:paraId="68C5F3E6" w14:textId="0E447A88"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bookmarkStart w:id="0" w:name="OLE_LINK13"/>
            <m:oMathPara>
              <m:oMathParaPr>
                <m:jc m:val="left"/>
              </m:oMathParaPr>
              <m:oMath>
                <m:r>
                  <w:rPr>
                    <w:rFonts w:ascii="Cambria Math" w:eastAsia="Arial" w:hAnsi="Cambria Math" w:cs="Arial"/>
                    <w:color w:val="000000"/>
                    <w:lang w:eastAsia="en-CA"/>
                  </w:rPr>
                  <m:t xml:space="preserve">                                              </m:t>
                </m:r>
                <w:bookmarkEnd w:id="0"/>
                <m:r>
                  <w:rPr>
                    <w:rFonts w:ascii="Cambria Math" w:eastAsia="Arial" w:hAnsi="Cambria Math" w:cs="Arial"/>
                    <w:color w:val="000000"/>
                    <w:lang w:eastAsia="en-CA"/>
                  </w:rPr>
                  <m:t>≈ $55,158- $65,148</m:t>
                </m:r>
                <m:r>
                  <m:rPr>
                    <m:sty m:val="p"/>
                  </m:rPr>
                  <w:rPr>
                    <w:rFonts w:ascii="Cambria Math" w:eastAsia="Arial" w:hAnsi="Cambria Math" w:cs="Arial"/>
                    <w:color w:val="000000"/>
                    <w:lang w:eastAsia="en-CA"/>
                  </w:rPr>
                  <w:br/>
                </m:r>
              </m:oMath>
              <m:oMath>
                <m:r>
                  <w:rPr>
                    <w:rFonts w:ascii="Cambria Math" w:eastAsia="Arial" w:hAnsi="Cambria Math" w:cs="Arial"/>
                    <w:color w:val="000000"/>
                    <w:lang w:eastAsia="en-CA"/>
                  </w:rPr>
                  <m:t xml:space="preserve">                                              ≈</m:t>
                </m:r>
                <m:r>
                  <m:rPr>
                    <m:sty m:val="bi"/>
                  </m:rPr>
                  <w:rPr>
                    <w:rFonts w:ascii="Cambria Math" w:eastAsia="Arial" w:hAnsi="Cambria Math" w:cs="Arial"/>
                    <w:color w:val="000000"/>
                    <w:lang w:eastAsia="en-CA"/>
                  </w:rPr>
                  <m:t>-$9,990</m:t>
                </m:r>
              </m:oMath>
            </m:oMathPara>
          </w:p>
          <w:p w14:paraId="0D2AB279" w14:textId="77777777" w:rsidR="00197E82" w:rsidRPr="00197E82" w:rsidRDefault="00197E82" w:rsidP="00197E82">
            <w:pPr>
              <w:widowControl w:val="0"/>
              <w:pBdr>
                <w:top w:val="nil"/>
                <w:left w:val="nil"/>
                <w:bottom w:val="nil"/>
                <w:right w:val="nil"/>
                <w:between w:val="nil"/>
              </w:pBdr>
              <w:spacing w:after="0" w:line="240" w:lineRule="auto"/>
              <w:rPr>
                <w:rFonts w:ascii="Arial" w:eastAsia="Arial" w:hAnsi="Arial" w:cs="Arial"/>
                <w:color w:val="000000"/>
                <w:lang w:eastAsia="en-CA"/>
              </w:rPr>
            </w:pPr>
            <w:r w:rsidRPr="00197E82">
              <w:rPr>
                <w:rFonts w:ascii="Arial" w:eastAsia="Arial" w:hAnsi="Arial" w:cs="Arial"/>
                <w:color w:val="000000"/>
                <w:lang w:eastAsia="en-CA"/>
              </w:rPr>
              <w:t>The impact (cost) of failing four courses per two years is $9,990, which equals to the value of the full two semesters cost. That is also without including the marginal costs, like transportation, communication, life expenses, and mental and emotional costs.</w:t>
            </w:r>
          </w:p>
          <w:p w14:paraId="3A0D7F5C" w14:textId="77777777" w:rsidR="00197E82" w:rsidRPr="00197E82" w:rsidRDefault="00197E82"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197E82">
              <w:rPr>
                <w:rFonts w:ascii="Arial" w:eastAsia="Arial" w:hAnsi="Arial" w:cs="Arial"/>
                <w:noProof/>
                <w:color w:val="000000"/>
                <w:lang w:eastAsia="en-CA"/>
              </w:rPr>
              <w:drawing>
                <wp:inline distT="0" distB="0" distL="0" distR="0" wp14:anchorId="320D2423" wp14:editId="53BBC3CC">
                  <wp:extent cx="3513908" cy="1229492"/>
                  <wp:effectExtent l="0" t="0" r="4445" b="2540"/>
                  <wp:docPr id="193707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70127" name=""/>
                          <pic:cNvPicPr/>
                        </pic:nvPicPr>
                        <pic:blipFill>
                          <a:blip r:embed="rId29"/>
                          <a:stretch>
                            <a:fillRect/>
                          </a:stretch>
                        </pic:blipFill>
                        <pic:spPr>
                          <a:xfrm>
                            <a:off x="0" y="0"/>
                            <a:ext cx="3585212" cy="1254441"/>
                          </a:xfrm>
                          <a:prstGeom prst="rect">
                            <a:avLst/>
                          </a:prstGeom>
                        </pic:spPr>
                      </pic:pic>
                    </a:graphicData>
                  </a:graphic>
                </wp:inline>
              </w:drawing>
            </w:r>
          </w:p>
          <w:p w14:paraId="399A32F4" w14:textId="77777777" w:rsidR="00B074D4" w:rsidRDefault="00197E82" w:rsidP="00E05485">
            <w:pPr>
              <w:widowControl w:val="0"/>
              <w:pBdr>
                <w:top w:val="nil"/>
                <w:left w:val="nil"/>
                <w:bottom w:val="nil"/>
                <w:right w:val="nil"/>
                <w:between w:val="nil"/>
              </w:pBdr>
              <w:spacing w:after="0" w:line="240" w:lineRule="auto"/>
              <w:jc w:val="center"/>
              <w:rPr>
                <w:rFonts w:ascii="Arial" w:eastAsia="Arial" w:hAnsi="Arial" w:cs="Arial"/>
                <w:color w:val="000000"/>
                <w:lang w:eastAsia="en-CA"/>
              </w:rPr>
            </w:pPr>
            <w:r w:rsidRPr="00197E82">
              <w:rPr>
                <w:rFonts w:ascii="Arial" w:eastAsia="Arial" w:hAnsi="Arial" w:cs="Arial"/>
                <w:color w:val="000000"/>
                <w:lang w:eastAsia="en-CA"/>
              </w:rPr>
              <w:t>Fig.-</w:t>
            </w:r>
            <w:r w:rsidRPr="00197E82">
              <w:rPr>
                <w:rFonts w:ascii="Arial" w:eastAsia="Arial" w:hAnsi="Arial" w:cs="Arial"/>
                <w:color w:val="000000"/>
                <w:lang w:eastAsia="en-CA"/>
              </w:rPr>
              <w:fldChar w:fldCharType="begin"/>
            </w:r>
            <w:r w:rsidRPr="00197E82">
              <w:rPr>
                <w:rFonts w:ascii="Arial" w:eastAsia="Arial" w:hAnsi="Arial" w:cs="Arial"/>
                <w:color w:val="000000"/>
                <w:lang w:eastAsia="en-CA"/>
              </w:rPr>
              <w:instrText xml:space="preserve"> SEQ Figure \* ARABIC </w:instrText>
            </w:r>
            <w:r w:rsidRPr="00197E82">
              <w:rPr>
                <w:rFonts w:ascii="Arial" w:eastAsia="Arial" w:hAnsi="Arial" w:cs="Arial"/>
                <w:color w:val="000000"/>
                <w:lang w:eastAsia="en-CA"/>
              </w:rPr>
              <w:fldChar w:fldCharType="separate"/>
            </w:r>
            <w:r w:rsidRPr="00197E82">
              <w:rPr>
                <w:rFonts w:ascii="Arial" w:eastAsia="Arial" w:hAnsi="Arial" w:cs="Arial"/>
                <w:color w:val="000000"/>
                <w:lang w:eastAsia="en-CA"/>
              </w:rPr>
              <w:t>1</w:t>
            </w:r>
            <w:r w:rsidRPr="00197E82">
              <w:rPr>
                <w:rFonts w:ascii="Arial" w:eastAsia="Arial" w:hAnsi="Arial" w:cs="Arial"/>
                <w:color w:val="000000"/>
                <w:lang w:eastAsia="en-CA"/>
              </w:rPr>
              <w:fldChar w:fldCharType="end"/>
            </w:r>
            <w:r w:rsidRPr="00197E82">
              <w:rPr>
                <w:rFonts w:ascii="Arial" w:eastAsia="Arial" w:hAnsi="Arial" w:cs="Arial"/>
                <w:color w:val="000000"/>
                <w:lang w:eastAsia="en-CA"/>
              </w:rPr>
              <w:t xml:space="preserve"> Timing of Costs and Incomes (failing / failing free cases)</w:t>
            </w:r>
          </w:p>
          <w:p w14:paraId="34B285D0" w14:textId="5C5F368E" w:rsidR="0087724C" w:rsidRPr="00C57074" w:rsidRDefault="002B76F7" w:rsidP="002B76F7">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lastRenderedPageBreak/>
              <w:t xml:space="preserve">In conclusion, the app is a good tool to be used by a student to achieve </w:t>
            </w:r>
            <w:r w:rsidR="00A911EB">
              <w:rPr>
                <w:rFonts w:ascii="Arial" w:eastAsia="Arial" w:hAnsi="Arial" w:cs="Arial"/>
                <w:color w:val="000000"/>
                <w:lang w:eastAsia="en-CA"/>
              </w:rPr>
              <w:t>fewer</w:t>
            </w:r>
            <w:r w:rsidR="00DA55F6">
              <w:rPr>
                <w:rFonts w:ascii="Arial" w:eastAsia="Arial" w:hAnsi="Arial" w:cs="Arial"/>
                <w:color w:val="000000"/>
                <w:lang w:eastAsia="en-CA"/>
              </w:rPr>
              <w:t xml:space="preserve"> financial costs </w:t>
            </w:r>
            <w:r w:rsidR="00A911EB">
              <w:rPr>
                <w:rFonts w:ascii="Arial" w:eastAsia="Arial" w:hAnsi="Arial" w:cs="Arial"/>
                <w:color w:val="000000"/>
                <w:lang w:eastAsia="en-CA"/>
              </w:rPr>
              <w:t>or more beneficial benefits, less stress, and best academic performance.</w:t>
            </w:r>
          </w:p>
        </w:tc>
      </w:tr>
      <w:tr w:rsidR="00C57074" w:rsidRPr="00C57074" w14:paraId="2806472C" w14:textId="77777777" w:rsidTr="00AB6ADE">
        <w:trPr>
          <w:trHeight w:val="400"/>
        </w:trPr>
        <w:tc>
          <w:tcPr>
            <w:tcW w:w="2240" w:type="dxa"/>
            <w:tcBorders>
              <w:right w:val="nil"/>
            </w:tcBorders>
            <w:shd w:val="clear" w:color="auto" w:fill="D9D9D9"/>
            <w:tcMar>
              <w:top w:w="100" w:type="dxa"/>
              <w:left w:w="100" w:type="dxa"/>
              <w:bottom w:w="100" w:type="dxa"/>
              <w:right w:w="100" w:type="dxa"/>
            </w:tcMar>
          </w:tcPr>
          <w:p w14:paraId="65F7CFD8"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lastRenderedPageBreak/>
              <w:t>Options</w:t>
            </w:r>
          </w:p>
        </w:tc>
        <w:tc>
          <w:tcPr>
            <w:tcW w:w="7435" w:type="dxa"/>
            <w:tcBorders>
              <w:left w:val="nil"/>
            </w:tcBorders>
            <w:tcMar>
              <w:top w:w="100" w:type="dxa"/>
              <w:left w:w="100" w:type="dxa"/>
              <w:bottom w:w="100" w:type="dxa"/>
              <w:right w:w="100" w:type="dxa"/>
            </w:tcMar>
          </w:tcPr>
          <w:p w14:paraId="6EED7DF6" w14:textId="41D4E829" w:rsidR="008C6286" w:rsidRPr="0087724C" w:rsidRDefault="00A5217A" w:rsidP="0087724C">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We conduct the project t</w:t>
            </w:r>
            <w:r w:rsidR="000B43C0">
              <w:rPr>
                <w:rFonts w:ascii="Arial" w:eastAsia="Arial" w:hAnsi="Arial" w:cs="Arial"/>
                <w:color w:val="000000"/>
                <w:lang w:eastAsia="en-CA"/>
              </w:rPr>
              <w:t>o</w:t>
            </w:r>
            <w:r w:rsidR="000B43C0" w:rsidRPr="00AF4F85">
              <w:rPr>
                <w:rFonts w:ascii="Arial" w:eastAsia="Arial" w:hAnsi="Arial" w:cs="Arial"/>
                <w:color w:val="000000"/>
                <w:lang w:eastAsia="en-CA"/>
              </w:rPr>
              <w:t xml:space="preserve"> assisting college students in enhancing their time management abilities, lowering stress related to the workload of their courses, and improving their study habits so they earn higher grades.</w:t>
            </w:r>
          </w:p>
        </w:tc>
      </w:tr>
      <w:tr w:rsidR="00C57074" w:rsidRPr="00C57074" w14:paraId="57FFEE80"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3E51FC1"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Cost-Benefit Analysis</w:t>
            </w:r>
          </w:p>
        </w:tc>
      </w:tr>
      <w:tr w:rsidR="00C57074" w:rsidRPr="00C57074" w14:paraId="576BB50C" w14:textId="77777777" w:rsidTr="004E00B0">
        <w:trPr>
          <w:trHeight w:val="400"/>
        </w:trPr>
        <w:tc>
          <w:tcPr>
            <w:tcW w:w="9675" w:type="dxa"/>
            <w:gridSpan w:val="2"/>
            <w:shd w:val="clear" w:color="auto" w:fill="FFFFFF"/>
            <w:tcMar>
              <w:top w:w="100" w:type="dxa"/>
              <w:left w:w="100" w:type="dxa"/>
              <w:bottom w:w="100" w:type="dxa"/>
              <w:right w:w="100" w:type="dxa"/>
            </w:tcMar>
          </w:tcPr>
          <w:p w14:paraId="0CF3E7DC" w14:textId="6CE8B3E3"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bookmarkStart w:id="1" w:name="OLE_LINK20"/>
            <w:bookmarkStart w:id="2" w:name="OLE_LINK14"/>
            <w:bookmarkStart w:id="3" w:name="OLE_LINK15"/>
            <w:bookmarkStart w:id="4" w:name="OLE_LINK16"/>
            <w:bookmarkStart w:id="5" w:name="OLE_LINK17"/>
            <w:r w:rsidRPr="008913E9">
              <w:rPr>
                <w:rFonts w:ascii="Arial" w:eastAsia="Arial" w:hAnsi="Arial" w:cs="Arial"/>
                <w:color w:val="000000"/>
                <w:lang w:eastAsia="en-CA"/>
              </w:rPr>
              <w:t xml:space="preserve">Cost Benefit Analysis </w:t>
            </w:r>
            <w:proofErr w:type="spellStart"/>
            <w:r w:rsidR="007D1955">
              <w:rPr>
                <w:rFonts w:ascii="Arial" w:eastAsia="Arial" w:hAnsi="Arial" w:cs="Arial"/>
                <w:color w:val="000000"/>
                <w:lang w:eastAsia="en-CA"/>
              </w:rPr>
              <w:t>EduTrack</w:t>
            </w:r>
            <w:proofErr w:type="spellEnd"/>
          </w:p>
          <w:bookmarkEnd w:id="1"/>
          <w:p w14:paraId="041289F7"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56436E32"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Benefits</w:t>
            </w:r>
          </w:p>
          <w:p w14:paraId="73E7471B"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Gaining Stronger software and web developing design skills.</w:t>
            </w:r>
          </w:p>
          <w:p w14:paraId="0A9FD9F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More knowledge of software project management skills.</w:t>
            </w:r>
          </w:p>
          <w:p w14:paraId="31787ADE" w14:textId="67C6124B"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xml:space="preserve">- Increased recognition of </w:t>
            </w:r>
            <w:proofErr w:type="spellStart"/>
            <w:r w:rsidR="007D1955">
              <w:rPr>
                <w:rFonts w:ascii="Arial" w:eastAsia="Arial" w:hAnsi="Arial" w:cs="Arial"/>
                <w:color w:val="000000"/>
                <w:lang w:eastAsia="en-CA"/>
              </w:rPr>
              <w:t>EduTrack</w:t>
            </w:r>
            <w:proofErr w:type="spellEnd"/>
            <w:r w:rsidR="007D1955" w:rsidRPr="008913E9">
              <w:rPr>
                <w:rFonts w:ascii="Arial" w:eastAsia="Arial" w:hAnsi="Arial" w:cs="Arial"/>
                <w:color w:val="000000"/>
                <w:lang w:eastAsia="en-CA"/>
              </w:rPr>
              <w:t xml:space="preserve"> </w:t>
            </w:r>
            <w:r w:rsidRPr="008913E9">
              <w:rPr>
                <w:rFonts w:ascii="Arial" w:eastAsia="Arial" w:hAnsi="Arial" w:cs="Arial"/>
                <w:color w:val="000000"/>
                <w:lang w:eastAsia="en-CA"/>
              </w:rPr>
              <w:t>among university students.</w:t>
            </w:r>
          </w:p>
          <w:p w14:paraId="760E76B4" w14:textId="70462FEC"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xml:space="preserve">- A rise in the </w:t>
            </w:r>
            <w:proofErr w:type="spellStart"/>
            <w:r w:rsidR="007D1955">
              <w:rPr>
                <w:rFonts w:ascii="Arial" w:eastAsia="Arial" w:hAnsi="Arial" w:cs="Arial"/>
                <w:color w:val="000000"/>
                <w:lang w:eastAsia="en-CA"/>
              </w:rPr>
              <w:t>EduTrack</w:t>
            </w:r>
            <w:r w:rsidRPr="008913E9">
              <w:rPr>
                <w:rFonts w:ascii="Arial" w:eastAsia="Arial" w:hAnsi="Arial" w:cs="Arial"/>
                <w:color w:val="000000"/>
                <w:lang w:eastAsia="en-CA"/>
              </w:rPr>
              <w:t>'s</w:t>
            </w:r>
            <w:proofErr w:type="spellEnd"/>
            <w:r w:rsidRPr="008913E9">
              <w:rPr>
                <w:rFonts w:ascii="Arial" w:eastAsia="Arial" w:hAnsi="Arial" w:cs="Arial"/>
                <w:color w:val="000000"/>
                <w:lang w:eastAsia="en-CA"/>
              </w:rPr>
              <w:t xml:space="preserve"> popularity and among university students.</w:t>
            </w:r>
          </w:p>
          <w:p w14:paraId="23ECD25A" w14:textId="307B8EAA"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xml:space="preserve">- Students benefit from using </w:t>
            </w:r>
            <w:proofErr w:type="spellStart"/>
            <w:r w:rsidR="007D1955">
              <w:rPr>
                <w:rFonts w:ascii="Arial" w:eastAsia="Arial" w:hAnsi="Arial" w:cs="Arial"/>
                <w:color w:val="000000"/>
                <w:lang w:eastAsia="en-CA"/>
              </w:rPr>
              <w:t>EduTrack</w:t>
            </w:r>
            <w:proofErr w:type="spellEnd"/>
            <w:r w:rsidRPr="008913E9">
              <w:rPr>
                <w:rFonts w:ascii="Arial" w:eastAsia="Arial" w:hAnsi="Arial" w:cs="Arial"/>
                <w:color w:val="000000"/>
                <w:lang w:eastAsia="en-CA"/>
              </w:rPr>
              <w:t xml:space="preserve"> on developing better academic planning and increasing academic performance.</w:t>
            </w:r>
          </w:p>
          <w:p w14:paraId="4F4E7D0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111EF6BF"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Cost</w:t>
            </w:r>
          </w:p>
          <w:p w14:paraId="6BECAD43" w14:textId="77777777" w:rsidR="008913E9" w:rsidRPr="008913E9" w:rsidRDefault="008913E9" w:rsidP="008913E9">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b/>
                <w:bCs/>
                <w:color w:val="000000"/>
                <w:lang w:eastAsia="en-CA"/>
              </w:rPr>
              <w:t>Financial Expenditures</w:t>
            </w:r>
            <w:r w:rsidRPr="008913E9">
              <w:rPr>
                <w:rFonts w:ascii="Arial" w:eastAsia="Arial" w:hAnsi="Arial" w:cs="Arial"/>
                <w:color w:val="000000"/>
                <w:lang w:eastAsia="en-CA"/>
              </w:rPr>
              <w:t xml:space="preserve">: $0 cost since team members are utilizing their won laptops. Also, they have free access to </w:t>
            </w:r>
            <w:proofErr w:type="spellStart"/>
            <w:r w:rsidRPr="008913E9">
              <w:rPr>
                <w:rFonts w:ascii="Arial" w:eastAsia="Arial" w:hAnsi="Arial" w:cs="Arial"/>
                <w:color w:val="000000"/>
                <w:lang w:eastAsia="en-CA"/>
              </w:rPr>
              <w:t>UoR</w:t>
            </w:r>
            <w:proofErr w:type="spellEnd"/>
            <w:r w:rsidRPr="008913E9">
              <w:rPr>
                <w:rFonts w:ascii="Arial" w:eastAsia="Arial" w:hAnsi="Arial" w:cs="Arial"/>
                <w:color w:val="000000"/>
                <w:lang w:eastAsia="en-CA"/>
              </w:rPr>
              <w:t xml:space="preserve"> labs and library computers and resources.</w:t>
            </w:r>
          </w:p>
          <w:p w14:paraId="71BFE629" w14:textId="77777777" w:rsidR="008913E9" w:rsidRPr="008913E9" w:rsidRDefault="008913E9" w:rsidP="008913E9">
            <w:pPr>
              <w:widowControl w:val="0"/>
              <w:numPr>
                <w:ilvl w:val="0"/>
                <w:numId w:val="6"/>
              </w:numPr>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b/>
                <w:bCs/>
                <w:color w:val="000000"/>
                <w:lang w:eastAsia="en-CA"/>
              </w:rPr>
              <w:t>Time Required</w:t>
            </w:r>
            <w:r w:rsidRPr="008913E9">
              <w:rPr>
                <w:rFonts w:ascii="Arial" w:eastAsia="Arial" w:hAnsi="Arial" w:cs="Arial"/>
                <w:color w:val="000000"/>
                <w:lang w:eastAsia="en-CA"/>
              </w:rPr>
              <w:t>: Approximately 3 months of development time.</w:t>
            </w:r>
          </w:p>
          <w:p w14:paraId="69EDB8CA"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Risks:</w:t>
            </w:r>
          </w:p>
          <w:p w14:paraId="5FD70E0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Because of the time limitations associated with manager office hour meetings and group discussion meetings, lead to exceeding due dates.</w:t>
            </w:r>
          </w:p>
          <w:p w14:paraId="5840F010"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Issues with correctly developing the project could add cost and lengthen the development time.</w:t>
            </w:r>
          </w:p>
          <w:p w14:paraId="4E467C64"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lab lectures are a good source for needed web developing skills. Unsynchronized lab schedule affects group’s capability to adhere with project requirements.</w:t>
            </w:r>
          </w:p>
          <w:p w14:paraId="011ED55C"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haste to complete expected work before each deadline could compromise desired level of usability.</w:t>
            </w:r>
          </w:p>
          <w:p w14:paraId="16EBD369"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 The above points may lead to marks reduction and / or low-quality product.</w:t>
            </w:r>
          </w:p>
          <w:p w14:paraId="701A245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p>
          <w:p w14:paraId="35F0B745" w14:textId="77777777" w:rsidR="008913E9" w:rsidRPr="008913E9" w:rsidRDefault="008913E9" w:rsidP="008913E9">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t>Quality:</w:t>
            </w:r>
          </w:p>
          <w:bookmarkEnd w:id="2"/>
          <w:bookmarkEnd w:id="3"/>
          <w:p w14:paraId="6EB3A0F7" w14:textId="6052FF9A" w:rsidR="008913E9" w:rsidRPr="008913E9" w:rsidRDefault="00AF228F" w:rsidP="008913E9">
            <w:pPr>
              <w:widowControl w:val="0"/>
              <w:numPr>
                <w:ilvl w:val="0"/>
                <w:numId w:val="7"/>
              </w:numPr>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I</w:t>
            </w:r>
            <w:r w:rsidR="00651948">
              <w:rPr>
                <w:rFonts w:ascii="Arial" w:eastAsia="Arial" w:hAnsi="Arial" w:cs="Arial"/>
                <w:color w:val="000000"/>
                <w:lang w:eastAsia="en-CA"/>
              </w:rPr>
              <w:t>f</w:t>
            </w:r>
            <w:r w:rsidR="008913E9" w:rsidRPr="008913E9">
              <w:rPr>
                <w:rFonts w:ascii="Arial" w:eastAsia="Arial" w:hAnsi="Arial" w:cs="Arial"/>
                <w:color w:val="000000"/>
                <w:lang w:eastAsia="en-CA"/>
              </w:rPr>
              <w:t xml:space="preserve"> team was able to submit the </w:t>
            </w:r>
            <w:proofErr w:type="spellStart"/>
            <w:r w:rsidR="00425A14">
              <w:rPr>
                <w:rFonts w:ascii="Arial" w:eastAsia="Arial" w:hAnsi="Arial" w:cs="Arial"/>
                <w:color w:val="000000"/>
                <w:lang w:eastAsia="en-CA"/>
              </w:rPr>
              <w:t>EduTrack</w:t>
            </w:r>
            <w:proofErr w:type="spellEnd"/>
            <w:r w:rsidR="008913E9" w:rsidRPr="008913E9">
              <w:rPr>
                <w:rFonts w:ascii="Arial" w:eastAsia="Arial" w:hAnsi="Arial" w:cs="Arial"/>
                <w:color w:val="000000"/>
                <w:lang w:eastAsia="en-CA"/>
              </w:rPr>
              <w:t xml:space="preserve"> on time</w:t>
            </w:r>
            <w:r>
              <w:rPr>
                <w:rFonts w:ascii="Arial" w:eastAsia="Arial" w:hAnsi="Arial" w:cs="Arial"/>
                <w:color w:val="000000"/>
                <w:lang w:eastAsia="en-CA"/>
              </w:rPr>
              <w:t xml:space="preserve"> the best quality </w:t>
            </w:r>
            <w:r w:rsidR="006C55B6">
              <w:rPr>
                <w:rFonts w:ascii="Arial" w:eastAsia="Arial" w:hAnsi="Arial" w:cs="Arial"/>
                <w:color w:val="000000"/>
                <w:lang w:eastAsia="en-CA"/>
              </w:rPr>
              <w:t xml:space="preserve">will have a better chance to be </w:t>
            </w:r>
            <w:r w:rsidR="0087724C">
              <w:rPr>
                <w:rFonts w:ascii="Arial" w:eastAsia="Arial" w:hAnsi="Arial" w:cs="Arial"/>
                <w:color w:val="000000"/>
                <w:lang w:eastAsia="en-CA"/>
              </w:rPr>
              <w:t>existed</w:t>
            </w:r>
            <w:r w:rsidR="008913E9" w:rsidRPr="008913E9">
              <w:rPr>
                <w:rFonts w:ascii="Arial" w:eastAsia="Arial" w:hAnsi="Arial" w:cs="Arial"/>
                <w:color w:val="000000"/>
                <w:lang w:eastAsia="en-CA"/>
              </w:rPr>
              <w:t>.</w:t>
            </w:r>
            <w:bookmarkEnd w:id="4"/>
            <w:bookmarkEnd w:id="5"/>
          </w:p>
          <w:p w14:paraId="106D97F8" w14:textId="764FC979" w:rsidR="00C57074" w:rsidRPr="00C57074" w:rsidRDefault="008913E9" w:rsidP="00B131DE">
            <w:pPr>
              <w:widowControl w:val="0"/>
              <w:pBdr>
                <w:top w:val="nil"/>
                <w:left w:val="nil"/>
                <w:bottom w:val="nil"/>
                <w:right w:val="nil"/>
                <w:between w:val="nil"/>
              </w:pBdr>
              <w:spacing w:after="0" w:line="240" w:lineRule="auto"/>
              <w:rPr>
                <w:rFonts w:ascii="Arial" w:eastAsia="Arial" w:hAnsi="Arial" w:cs="Arial"/>
                <w:color w:val="000000"/>
                <w:lang w:eastAsia="en-CA"/>
              </w:rPr>
            </w:pPr>
            <w:r w:rsidRPr="008913E9">
              <w:rPr>
                <w:rFonts w:ascii="Arial" w:eastAsia="Arial" w:hAnsi="Arial" w:cs="Arial"/>
                <w:color w:val="000000"/>
                <w:lang w:eastAsia="en-CA"/>
              </w:rPr>
              <w:br w:type="page"/>
            </w:r>
          </w:p>
        </w:tc>
      </w:tr>
      <w:tr w:rsidR="00C57074" w:rsidRPr="00C57074" w14:paraId="2A41318D" w14:textId="77777777" w:rsidTr="005E3C10">
        <w:trPr>
          <w:trHeight w:val="400"/>
        </w:trPr>
        <w:tc>
          <w:tcPr>
            <w:tcW w:w="9675" w:type="dxa"/>
            <w:gridSpan w:val="2"/>
            <w:shd w:val="clear" w:color="auto" w:fill="D9D9D9"/>
            <w:tcMar>
              <w:top w:w="100" w:type="dxa"/>
              <w:left w:w="100" w:type="dxa"/>
              <w:bottom w:w="100" w:type="dxa"/>
              <w:right w:w="100" w:type="dxa"/>
            </w:tcMar>
            <w:vAlign w:val="center"/>
          </w:tcPr>
          <w:p w14:paraId="10CD2CED" w14:textId="77777777" w:rsidR="00C57074" w:rsidRPr="00C57074" w:rsidRDefault="00C57074" w:rsidP="004E00B0">
            <w:pPr>
              <w:widowControl w:val="0"/>
              <w:pBdr>
                <w:top w:val="nil"/>
                <w:left w:val="nil"/>
                <w:bottom w:val="nil"/>
                <w:right w:val="nil"/>
                <w:between w:val="nil"/>
              </w:pBdr>
              <w:spacing w:after="0" w:line="240" w:lineRule="auto"/>
              <w:rPr>
                <w:rFonts w:ascii="Arial" w:eastAsia="Arial" w:hAnsi="Arial" w:cs="Arial"/>
                <w:b/>
                <w:color w:val="000000"/>
                <w:sz w:val="24"/>
                <w:szCs w:val="24"/>
                <w:lang w:eastAsia="en-CA"/>
              </w:rPr>
            </w:pPr>
            <w:r w:rsidRPr="00C57074">
              <w:rPr>
                <w:rFonts w:ascii="Arial" w:eastAsia="Arial" w:hAnsi="Arial" w:cs="Arial"/>
                <w:b/>
                <w:color w:val="000000"/>
                <w:sz w:val="24"/>
                <w:szCs w:val="24"/>
                <w:lang w:eastAsia="en-CA"/>
              </w:rPr>
              <w:t>Recommendation</w:t>
            </w:r>
          </w:p>
        </w:tc>
      </w:tr>
      <w:tr w:rsidR="00C57074" w:rsidRPr="00C57074" w14:paraId="5E59673E" w14:textId="77777777" w:rsidTr="004E00B0">
        <w:trPr>
          <w:trHeight w:val="400"/>
        </w:trPr>
        <w:tc>
          <w:tcPr>
            <w:tcW w:w="9675" w:type="dxa"/>
            <w:gridSpan w:val="2"/>
            <w:shd w:val="clear" w:color="auto" w:fill="FFFFFF"/>
            <w:tcMar>
              <w:top w:w="100" w:type="dxa"/>
              <w:left w:w="100" w:type="dxa"/>
              <w:bottom w:w="100" w:type="dxa"/>
              <w:right w:w="100" w:type="dxa"/>
            </w:tcMar>
          </w:tcPr>
          <w:p w14:paraId="2216C391" w14:textId="2419A0E7" w:rsidR="001B346D" w:rsidRPr="001B346D" w:rsidRDefault="001B346D" w:rsidP="001B346D">
            <w:pPr>
              <w:pStyle w:val="ListParagraph"/>
              <w:widowControl w:val="0"/>
              <w:numPr>
                <w:ilvl w:val="0"/>
                <w:numId w:val="7"/>
              </w:numPr>
              <w:pBdr>
                <w:top w:val="nil"/>
                <w:left w:val="nil"/>
                <w:bottom w:val="nil"/>
                <w:right w:val="nil"/>
                <w:between w:val="nil"/>
              </w:pBdr>
              <w:spacing w:after="0" w:line="240" w:lineRule="auto"/>
              <w:rPr>
                <w:rFonts w:ascii="Arial" w:eastAsia="Arial" w:hAnsi="Arial" w:cs="Arial"/>
                <w:color w:val="000000"/>
                <w:lang w:eastAsia="en-CA"/>
              </w:rPr>
            </w:pPr>
          </w:p>
        </w:tc>
      </w:tr>
    </w:tbl>
    <w:p w14:paraId="1BB999A0" w14:textId="77777777" w:rsidR="00C57074" w:rsidRDefault="00C57074"/>
    <w:sectPr w:rsidR="00C5707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1E101" w14:textId="77777777" w:rsidR="00BD08AD" w:rsidRDefault="00BD08AD" w:rsidP="00B131DE">
      <w:pPr>
        <w:spacing w:after="0" w:line="240" w:lineRule="auto"/>
      </w:pPr>
      <w:r>
        <w:separator/>
      </w:r>
    </w:p>
  </w:endnote>
  <w:endnote w:type="continuationSeparator" w:id="0">
    <w:p w14:paraId="7E66160B" w14:textId="77777777" w:rsidR="00BD08AD" w:rsidRDefault="00BD08AD" w:rsidP="00B13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F3DE7" w14:textId="77777777" w:rsidR="00B131DE" w:rsidRDefault="00B131D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3E234CD" w14:textId="77777777" w:rsidR="00B131DE" w:rsidRDefault="00B13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5C420" w14:textId="77777777" w:rsidR="00BD08AD" w:rsidRDefault="00BD08AD" w:rsidP="00B131DE">
      <w:pPr>
        <w:spacing w:after="0" w:line="240" w:lineRule="auto"/>
      </w:pPr>
      <w:r>
        <w:separator/>
      </w:r>
    </w:p>
  </w:footnote>
  <w:footnote w:type="continuationSeparator" w:id="0">
    <w:p w14:paraId="52973026" w14:textId="77777777" w:rsidR="00BD08AD" w:rsidRDefault="00BD08AD" w:rsidP="00B13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007F7"/>
    <w:multiLevelType w:val="multilevel"/>
    <w:tmpl w:val="B3C2B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1615E"/>
    <w:multiLevelType w:val="hybridMultilevel"/>
    <w:tmpl w:val="60F2A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B2465"/>
    <w:multiLevelType w:val="multilevel"/>
    <w:tmpl w:val="C152F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32653"/>
    <w:multiLevelType w:val="hybridMultilevel"/>
    <w:tmpl w:val="F886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3C177C"/>
    <w:multiLevelType w:val="hybridMultilevel"/>
    <w:tmpl w:val="0152F056"/>
    <w:lvl w:ilvl="0" w:tplc="D27C7C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03EF8"/>
    <w:multiLevelType w:val="multilevel"/>
    <w:tmpl w:val="B3C2B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E8752D"/>
    <w:multiLevelType w:val="multilevel"/>
    <w:tmpl w:val="DC146992"/>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67A10"/>
    <w:multiLevelType w:val="multilevel"/>
    <w:tmpl w:val="1C0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51E81"/>
    <w:multiLevelType w:val="multilevel"/>
    <w:tmpl w:val="0704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65547"/>
    <w:multiLevelType w:val="multilevel"/>
    <w:tmpl w:val="1D00CD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17294"/>
    <w:multiLevelType w:val="hybridMultilevel"/>
    <w:tmpl w:val="9954BE64"/>
    <w:lvl w:ilvl="0" w:tplc="557CDC0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34D24"/>
    <w:multiLevelType w:val="multilevel"/>
    <w:tmpl w:val="676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718B9"/>
    <w:multiLevelType w:val="hybridMultilevel"/>
    <w:tmpl w:val="379E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4460E3"/>
    <w:multiLevelType w:val="hybridMultilevel"/>
    <w:tmpl w:val="7A02294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6AD70F7E"/>
    <w:multiLevelType w:val="multilevel"/>
    <w:tmpl w:val="B3C2B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71FE5"/>
    <w:multiLevelType w:val="multilevel"/>
    <w:tmpl w:val="B3C2B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00639"/>
    <w:multiLevelType w:val="multilevel"/>
    <w:tmpl w:val="B3C2B1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452782">
    <w:abstractNumId w:val="9"/>
  </w:num>
  <w:num w:numId="2" w16cid:durableId="1411461551">
    <w:abstractNumId w:val="11"/>
  </w:num>
  <w:num w:numId="3" w16cid:durableId="1221020731">
    <w:abstractNumId w:val="8"/>
  </w:num>
  <w:num w:numId="4" w16cid:durableId="328876313">
    <w:abstractNumId w:val="15"/>
  </w:num>
  <w:num w:numId="5" w16cid:durableId="2013950251">
    <w:abstractNumId w:val="2"/>
  </w:num>
  <w:num w:numId="6" w16cid:durableId="1385714789">
    <w:abstractNumId w:val="7"/>
  </w:num>
  <w:num w:numId="7" w16cid:durableId="704720811">
    <w:abstractNumId w:val="4"/>
  </w:num>
  <w:num w:numId="8" w16cid:durableId="1100834128">
    <w:abstractNumId w:val="1"/>
  </w:num>
  <w:num w:numId="9" w16cid:durableId="279147680">
    <w:abstractNumId w:val="13"/>
  </w:num>
  <w:num w:numId="10" w16cid:durableId="1906335064">
    <w:abstractNumId w:val="12"/>
  </w:num>
  <w:num w:numId="11" w16cid:durableId="2013946747">
    <w:abstractNumId w:val="3"/>
  </w:num>
  <w:num w:numId="12" w16cid:durableId="953707726">
    <w:abstractNumId w:val="16"/>
  </w:num>
  <w:num w:numId="13" w16cid:durableId="1067647834">
    <w:abstractNumId w:val="5"/>
  </w:num>
  <w:num w:numId="14" w16cid:durableId="60032122">
    <w:abstractNumId w:val="14"/>
  </w:num>
  <w:num w:numId="15" w16cid:durableId="1700081713">
    <w:abstractNumId w:val="0"/>
  </w:num>
  <w:num w:numId="16" w16cid:durableId="568032902">
    <w:abstractNumId w:val="10"/>
  </w:num>
  <w:num w:numId="17" w16cid:durableId="342172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026A31"/>
    <w:rsid w:val="000A5839"/>
    <w:rsid w:val="000B43C0"/>
    <w:rsid w:val="00117A0F"/>
    <w:rsid w:val="001504B5"/>
    <w:rsid w:val="00185596"/>
    <w:rsid w:val="00194CB5"/>
    <w:rsid w:val="00197E82"/>
    <w:rsid w:val="001B346D"/>
    <w:rsid w:val="002B76F7"/>
    <w:rsid w:val="002C24F0"/>
    <w:rsid w:val="00314F0B"/>
    <w:rsid w:val="00364DE5"/>
    <w:rsid w:val="003C76FD"/>
    <w:rsid w:val="003E4074"/>
    <w:rsid w:val="00425A14"/>
    <w:rsid w:val="004375FE"/>
    <w:rsid w:val="00465C4B"/>
    <w:rsid w:val="004F742E"/>
    <w:rsid w:val="00506289"/>
    <w:rsid w:val="00507CB4"/>
    <w:rsid w:val="00540470"/>
    <w:rsid w:val="005541BA"/>
    <w:rsid w:val="005E3C10"/>
    <w:rsid w:val="00651948"/>
    <w:rsid w:val="006B0A04"/>
    <w:rsid w:val="006C55B6"/>
    <w:rsid w:val="00730E0A"/>
    <w:rsid w:val="0075325F"/>
    <w:rsid w:val="007A00D2"/>
    <w:rsid w:val="007B5E90"/>
    <w:rsid w:val="007D1955"/>
    <w:rsid w:val="008432D6"/>
    <w:rsid w:val="00860C85"/>
    <w:rsid w:val="0087724C"/>
    <w:rsid w:val="00890E59"/>
    <w:rsid w:val="008913E9"/>
    <w:rsid w:val="008C6286"/>
    <w:rsid w:val="00941D72"/>
    <w:rsid w:val="009D1CC4"/>
    <w:rsid w:val="00A063BC"/>
    <w:rsid w:val="00A51267"/>
    <w:rsid w:val="00A5217A"/>
    <w:rsid w:val="00A757D8"/>
    <w:rsid w:val="00A911EB"/>
    <w:rsid w:val="00AA217F"/>
    <w:rsid w:val="00AB0FFE"/>
    <w:rsid w:val="00AB3942"/>
    <w:rsid w:val="00AB6ADE"/>
    <w:rsid w:val="00AC31F1"/>
    <w:rsid w:val="00AC4D93"/>
    <w:rsid w:val="00AF228F"/>
    <w:rsid w:val="00AF4F85"/>
    <w:rsid w:val="00B0484D"/>
    <w:rsid w:val="00B074D4"/>
    <w:rsid w:val="00B131DE"/>
    <w:rsid w:val="00B22C23"/>
    <w:rsid w:val="00B44347"/>
    <w:rsid w:val="00B701AC"/>
    <w:rsid w:val="00B743F4"/>
    <w:rsid w:val="00BD08AD"/>
    <w:rsid w:val="00C27CE0"/>
    <w:rsid w:val="00C411A7"/>
    <w:rsid w:val="00C52041"/>
    <w:rsid w:val="00C57074"/>
    <w:rsid w:val="00D64441"/>
    <w:rsid w:val="00DA55F6"/>
    <w:rsid w:val="00DA7E8C"/>
    <w:rsid w:val="00DD26B8"/>
    <w:rsid w:val="00DD29B5"/>
    <w:rsid w:val="00E05485"/>
    <w:rsid w:val="00E058F9"/>
    <w:rsid w:val="00E27666"/>
    <w:rsid w:val="00E374BC"/>
    <w:rsid w:val="00E96D18"/>
    <w:rsid w:val="00EB2519"/>
    <w:rsid w:val="00ED341E"/>
    <w:rsid w:val="00F1078F"/>
    <w:rsid w:val="00F11C7B"/>
    <w:rsid w:val="00F31270"/>
    <w:rsid w:val="00F42B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customStyle="1" w:styleId="CommentTextChar">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074"/>
    <w:rPr>
      <w:rFonts w:ascii="Segoe UI" w:hAnsi="Segoe UI" w:cs="Segoe UI"/>
      <w:sz w:val="18"/>
      <w:szCs w:val="18"/>
    </w:rPr>
  </w:style>
  <w:style w:type="character" w:styleId="Hyperlink">
    <w:name w:val="Hyperlink"/>
    <w:basedOn w:val="DefaultParagraphFont"/>
    <w:uiPriority w:val="99"/>
    <w:unhideWhenUsed/>
    <w:rsid w:val="00197E82"/>
    <w:rPr>
      <w:color w:val="0563C1" w:themeColor="hyperlink"/>
      <w:u w:val="single"/>
    </w:rPr>
  </w:style>
  <w:style w:type="character" w:styleId="UnresolvedMention">
    <w:name w:val="Unresolved Mention"/>
    <w:basedOn w:val="DefaultParagraphFont"/>
    <w:uiPriority w:val="99"/>
    <w:semiHidden/>
    <w:unhideWhenUsed/>
    <w:rsid w:val="00197E82"/>
    <w:rPr>
      <w:color w:val="605E5C"/>
      <w:shd w:val="clear" w:color="auto" w:fill="E1DFDD"/>
    </w:rPr>
  </w:style>
  <w:style w:type="paragraph" w:styleId="ListParagraph">
    <w:name w:val="List Paragraph"/>
    <w:basedOn w:val="Normal"/>
    <w:uiPriority w:val="34"/>
    <w:qFormat/>
    <w:rsid w:val="008913E9"/>
    <w:pPr>
      <w:ind w:left="720"/>
      <w:contextualSpacing/>
    </w:pPr>
  </w:style>
  <w:style w:type="paragraph" w:styleId="Header">
    <w:name w:val="header"/>
    <w:basedOn w:val="Normal"/>
    <w:link w:val="HeaderChar"/>
    <w:uiPriority w:val="99"/>
    <w:unhideWhenUsed/>
    <w:rsid w:val="00B13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E"/>
  </w:style>
  <w:style w:type="paragraph" w:styleId="Footer">
    <w:name w:val="footer"/>
    <w:basedOn w:val="Normal"/>
    <w:link w:val="FooterChar"/>
    <w:uiPriority w:val="99"/>
    <w:unhideWhenUsed/>
    <w:rsid w:val="00B13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E"/>
  </w:style>
  <w:style w:type="character" w:styleId="FollowedHyperlink">
    <w:name w:val="FollowedHyperlink"/>
    <w:basedOn w:val="DefaultParagraphFont"/>
    <w:uiPriority w:val="99"/>
    <w:semiHidden/>
    <w:unhideWhenUsed/>
    <w:rsid w:val="00860C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0022-0663.83.3.405" TargetMode="External"/><Relationship Id="rId13" Type="http://schemas.openxmlformats.org/officeDocument/2006/relationships/hyperlink" Target="https://doi.org/10.2202/1935-1682.2191" TargetMode="External"/><Relationship Id="rId18" Type="http://schemas.openxmlformats.org/officeDocument/2006/relationships/hyperlink" Target="https://doi.org/10.1037/0022-0663.83.3.405" TargetMode="External"/><Relationship Id="rId26" Type="http://schemas.openxmlformats.org/officeDocument/2006/relationships/hyperlink" Target="https://www.cbc.ca/news/business/canada-student-loans-repayment-tips-1.6858596" TargetMode="External"/><Relationship Id="rId3" Type="http://schemas.openxmlformats.org/officeDocument/2006/relationships/settings" Target="settings.xml"/><Relationship Id="rId21" Type="http://schemas.openxmlformats.org/officeDocument/2006/relationships/hyperlink" Target="https://doi.org/10.1037/0022-0663.82.4.760" TargetMode="External"/><Relationship Id="rId7" Type="http://schemas.openxmlformats.org/officeDocument/2006/relationships/hyperlink" Target="https://effectiveu.umn.edu/time/management" TargetMode="External"/><Relationship Id="rId12" Type="http://schemas.openxmlformats.org/officeDocument/2006/relationships/hyperlink" Target="https://doi.org/10.2190/CS.10.3.c" TargetMode="External"/><Relationship Id="rId17" Type="http://schemas.openxmlformats.org/officeDocument/2006/relationships/hyperlink" Target="https://www.apa.org/ed/precollege/psn/2019/01/time-management"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nsse.indiana.edu/research/annual-results/index.html" TargetMode="External"/><Relationship Id="rId20" Type="http://schemas.openxmlformats.org/officeDocument/2006/relationships/hyperlink" Target="https://doi.org/10.1080/15391523.2006.10782459"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ew.georgetown.edu/cew-reports/workinglearners/"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sidehighered.com/news/2020/11/12/national-survey-student-engagement-finds-online-students-missing-interactions-faculty" TargetMode="External"/><Relationship Id="rId23" Type="http://schemas.openxmlformats.org/officeDocument/2006/relationships/hyperlink" Target="https://doi.org/10.1037/a0015738" TargetMode="External"/><Relationship Id="rId28" Type="http://schemas.openxmlformats.org/officeDocument/2006/relationships/hyperlink" Target="https://tools.canlearn.ca/cslgs-scpse/cln-cln/crp-lrc/af.nlindex-eng.do" TargetMode="External"/><Relationship Id="rId10" Type="http://schemas.openxmlformats.org/officeDocument/2006/relationships/hyperlink" Target="https://doi.org/10.1111/j.1745-6924.2008.00089.x" TargetMode="External"/><Relationship Id="rId19" Type="http://schemas.openxmlformats.org/officeDocument/2006/relationships/hyperlink" Target="https://www.mheducation.com/news-insights/articles/digital-study-trends-survey.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gage.com/student-success/" TargetMode="External"/><Relationship Id="rId14" Type="http://schemas.openxmlformats.org/officeDocument/2006/relationships/hyperlink" Target="https://doi.org/10.1016/j.jadohealth.2009.08.008" TargetMode="External"/><Relationship Id="rId22" Type="http://schemas.openxmlformats.org/officeDocument/2006/relationships/hyperlink" Target="https://doi.org/10.1037/0022-0663.83.3.405" TargetMode="External"/><Relationship Id="rId27" Type="http://schemas.openxmlformats.org/officeDocument/2006/relationships/hyperlink" Target="https://www.saskatchewan.ca/residents/education-and-learning/student-loans/after-you-apply/repay-your-student-loa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Bilal Alissa</cp:lastModifiedBy>
  <cp:revision>73</cp:revision>
  <dcterms:created xsi:type="dcterms:W3CDTF">2021-06-29T13:55:00Z</dcterms:created>
  <dcterms:modified xsi:type="dcterms:W3CDTF">2024-10-31T16:37:00Z</dcterms:modified>
</cp:coreProperties>
</file>