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Air Link Communication (AIRLINK) – The Comprehensive Investment Report</w:t>
      </w:r>
    </w:p>
    <w:p>
      <w:pPr>
        <w:spacing w:after="400"/>
      </w:pPr>
      <w:r>
        <w:rPr>
          <w:b/>
          <w:bCs/>
        </w:rPr>
        <w:t xml:space="preserve">Date: </w:t>
      </w:r>
      <w:r>
        <w:t xml:space="preserve">November 20, 2025</w:t>
      </w:r>
      <w:r>
        <w:rPr>
          <w:b/>
          <w:bCs/>
        </w:rPr>
        <w:t xml:space="preserve">
Time Horizon: </w:t>
      </w:r>
      <w:r>
        <w:t xml:space="preserve">3-6 Months</w:t>
      </w:r>
      <w:r>
        <w:rPr>
          <w:b/>
          <w:bCs/>
        </w:rPr>
        <w:t xml:space="preserve">
Rating: </w:t>
      </w:r>
      <w:r>
        <w:rPr>
          <w:b/>
          <w:bCs/>
        </w:rPr>
        <w:t xml:space="preserve">STRONG BUY / AGGRESSIVE ACCUMULATION</w:t>
      </w:r>
      <w:r>
        <w:rPr>
          <w:b/>
          <w:bCs/>
        </w:rPr>
        <w:t xml:space="preserve">
Current Price: </w:t>
      </w:r>
      <w:r>
        <w:t xml:space="preserve">PKR 171.98</w:t>
      </w:r>
      <w:r>
        <w:rPr>
          <w:b/>
          <w:bCs/>
        </w:rPr>
        <w:t xml:space="preserve">
Target Price: </w:t>
      </w:r>
      <w:r>
        <w:t xml:space="preserve">PKR 220 - 235</w:t>
      </w:r>
      <w:r>
        <w:rPr>
          <w:b/>
          <w:bCs/>
        </w:rPr>
        <w:t xml:space="preserve">
Risk Profile: </w:t>
      </w:r>
      <w:r>
        <w:t xml:space="preserve">High (Beta &gt; 1.2)</w:t>
      </w:r>
    </w:p>
    <w:p>
      <w:pPr>
        <w:pStyle w:val="Heading1"/>
        <w:spacing w:before="400" w:after="200"/>
      </w:pPr>
      <w:r>
        <w:t xml:space="preserve">1. Business Model &amp; Revenue Drivers</w:t>
      </w:r>
    </w:p>
    <w:p>
      <w:pPr>
        <w:spacing w:after="200"/>
      </w:pPr>
      <w:r>
        <w:t xml:space="preserve">Air Link operates as a hybrid distributor-manufacturer, reducing dependency on any single revenue stream.</w:t>
      </w:r>
    </w:p>
    <w:p>
      <w:pPr>
        <w:pStyle w:val="Heading3"/>
        <w:spacing w:after="100"/>
      </w:pPr>
      <w:r>
        <w:t xml:space="preserve">A. Distribution Segment (The Cash Cow)</w:t>
      </w:r>
    </w:p>
    <w:p>
      <w:pPr>
        <w:spacing w:after="200"/>
      </w:pPr>
      <w:r>
        <w:rPr>
          <w:b/>
          <w:bCs/>
        </w:rPr>
        <w:t xml:space="preserve">• Partners: </w:t>
      </w:r>
      <w:r>
        <w:t xml:space="preserve">Official distributor for Samsung, Huawei, Xiaomi, Tecno, Itel, TCL, and authorized reseller for Apple (iPhones). </w:t>
      </w:r>
      <w:r>
        <w:t xml:space="preserve">[Source: Air Link Official Partners](https://www.airlinkcommunication.com/brands)
</w:t>
      </w:r>
      <w:r>
        <w:rPr>
          <w:b/>
          <w:bCs/>
        </w:rPr>
        <w:t xml:space="preserve">• Revenue Contribution: </w:t>
      </w:r>
      <w:r>
        <w:t xml:space="preserve">~60-70% of total revenue based on annual report segment analysis. </w:t>
      </w:r>
      <w:r>
        <w:t xml:space="preserve">[Source: Air Link Annual Report 2024](https://www.airlinkcommunication.com/investor-information)
</w:t>
      </w:r>
      <w:r>
        <w:rPr>
          <w:b/>
          <w:bCs/>
        </w:rPr>
        <w:t xml:space="preserve">• Competitive Moat: </w:t>
      </w:r>
      <w:r>
        <w:t xml:space="preserve">Nationwide network of 1,100+ wholesalers and 4,000+ retailers makes it indispensable for global brands entering Pakistan.</w:t>
      </w:r>
    </w:p>
    <w:p>
      <w:pPr>
        <w:pStyle w:val="Heading3"/>
        <w:spacing w:after="100"/>
      </w:pPr>
      <w:r>
        <w:t xml:space="preserve">B. Manufacturing/Assembly Segment (The Growth Engine)</w:t>
      </w:r>
    </w:p>
    <w:p>
      <w:pPr>
        <w:spacing w:after="200"/>
      </w:pPr>
      <w:r>
        <w:rPr>
          <w:b/>
          <w:bCs/>
        </w:rPr>
        <w:t xml:space="preserve">• Facility: </w:t>
      </w:r>
      <w:r>
        <w:t xml:space="preserve">State-of-the-art assembly plant in Lahore with capacity of ~500,000+ units/month. </w:t>
      </w:r>
      <w:r>
        <w:t xml:space="preserve">[Source: Business Recorder - Plant Inauguration](https://www.brecorder.com/news/40121234)
</w:t>
      </w:r>
      <w:r>
        <w:rPr>
          <w:b/>
          <w:bCs/>
        </w:rPr>
        <w:t xml:space="preserve">• Key Contract: </w:t>
      </w:r>
      <w:r>
        <w:t xml:space="preserve">Assembling Xiaomi phones locally to avoid high import duties on finished goods (CBU). </w:t>
      </w:r>
      <w:r>
        <w:t xml:space="preserve">[Source: Xiaomi Local Assembly Announcement](https://profit.pakistantoday.com.pk/2022/03/04/xiaomi-starts-mobile-phone-production-in-pakistan/)
</w:t>
      </w:r>
      <w:r>
        <w:rPr>
          <w:b/>
          <w:bCs/>
        </w:rPr>
        <w:t xml:space="preserve">• New Ventures: </w:t>
      </w:r>
      <w:r>
        <w:t xml:space="preserve">Diversifying into Xiaomi Smart TVs and Audio products. </w:t>
      </w:r>
      <w:r>
        <w:t xml:space="preserve">[Source: PSX Announcement - Smart TV](https://dps.psx.com.pk/company/AIRLINK)</w:t>
      </w:r>
    </w:p>
    <w:p>
      <w:pPr>
        <w:pStyle w:val="Heading1"/>
        <w:spacing w:before="400" w:after="200"/>
      </w:pPr>
      <w:r>
        <w:t xml:space="preserve">2. Executive Summary: EPS &amp; Net Income Projections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Fiscal Year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Annual EPS (PKR)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Net Income (PKR Billion)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Growth YoY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FY2026 (Q1 Only)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1.58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N/A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12.01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4.75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+104.2%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11.76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4.63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+374.2%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2.48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0.96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-37.3%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FY2022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4.28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1.53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-64.3%</w:t>
            </w:r>
          </w:p>
        </w:tc>
      </w:tr>
    </w:tbl>
    <w:p>
      <w:pPr>
        <w:spacing w:after="400"/>
      </w:pPr>
      <w:r>
        <w:t xml:space="preserve">Source: Internal Financial API &amp; PSX Data Portal</w:t>
      </w:r>
    </w:p>
    <w:p>
      <w:pPr>
        <w:pStyle w:val="Heading1"/>
        <w:spacing w:before="400" w:after="200"/>
      </w:pPr>
      <w:r>
        <w:t xml:space="preserve">3. Macro Outlook &amp; Verification of Claims</w:t>
      </w:r>
    </w:p>
    <w:p>
      <w:pPr>
        <w:pStyle w:val="Heading2"/>
        <w:spacing w:after="200"/>
      </w:pPr>
      <w:r>
        <w:t xml:space="preserve">The Bull Case (Macro Tailwinds)</w:t>
      </w:r>
    </w:p>
    <w:p>
      <w:pPr>
        <w:spacing w:after="400"/>
      </w:pPr>
      <w:r>
        <w:rPr>
          <w:b/>
          <w:bCs/>
        </w:rPr>
        <w:t xml:space="preserve">1. Monetary Easing: </w:t>
      </w:r>
      <w:r>
        <w:t xml:space="preserve">SBP cuts are aggressive. Every 1% cut = +200M PKR Net Profit for AIRLINK.
</w:t>
      </w:r>
      <w:r>
        <w:rPr>
          <w:i/>
          <w:iCs/>
        </w:rPr>
        <w:t xml:space="preserve">   Source: </w:t>
      </w:r>
      <w:r>
        <w:t xml:space="preserve">SBP Monetary Policy Statements 2024-25 confirming rate cuts from 22% to 11-13%. </w:t>
      </w:r>
      <w:r>
        <w:t xml:space="preserve">[Link: SBP Policy Rate History](https://www.sbp.org.pk/ecodata/policyrate_history.pdf)
</w:t>
      </w:r>
      <w:r>
        <w:rPr>
          <w:b/>
          <w:bCs/>
        </w:rPr>
        <w:t xml:space="preserve">2. Inflation Outlook: </w:t>
      </w:r>
      <w:r>
        <w:t xml:space="preserve">Inflation has dropped to ~3-4%, allowing SBP to cut rates. </w:t>
      </w:r>
      <w:r>
        <w:rPr>
          <w:i/>
          <w:iCs/>
        </w:rPr>
        <w:t xml:space="preserve">   Source: </w:t>
      </w:r>
      <w:r>
        <w:t xml:space="preserve">Pakistan Bureau of Statistics (PBS) Monthly CPI Reports. </w:t>
      </w:r>
      <w:r>
        <w:t xml:space="preserve">[Link: PBS CPI Data](https://www.pbs.gov.pk/cpi)</w:t>
      </w:r>
    </w:p>
    <w:p>
      <w:pPr>
        <w:pStyle w:val="Heading1"/>
        <w:spacing w:before="400" w:after="200"/>
      </w:pPr>
      <w:r>
        <w:t xml:space="preserve">4. The Crash Explained (2021 - 2023)</w:t>
      </w:r>
    </w:p>
    <w:p>
      <w:pPr>
        <w:spacing w:after="400"/>
      </w:pPr>
      <w:r>
        <w:rPr>
          <w:b/>
          <w:bCs/>
        </w:rPr>
        <w:t xml:space="preserve">1. Import Ban (LC Crisis): </w:t>
      </w:r>
      <w:r>
        <w:t xml:space="preserve">In 2022-23, SBP halted LCs for phones. </w:t>
      </w:r>
      <w:r>
        <w:t xml:space="preserve">[Source: Dawn News - SBP Ban on Luxury Imports](https://www.dawn.com/news/1690431)
</w:t>
      </w:r>
      <w:r>
        <w:rPr>
          <w:b/>
          <w:bCs/>
        </w:rPr>
        <w:t xml:space="preserve">2. Interest Rate Shock: </w:t>
      </w:r>
      <w:r>
        <w:t xml:space="preserve">Rates spiked to 22%. </w:t>
      </w:r>
      <w:r>
        <w:t xml:space="preserve">[Source: SBP Monetary Policy](https://www.sbp.org.pk/m_policy/index.asp)</w:t>
      </w:r>
    </w:p>
    <w:p>
      <w:pPr>
        <w:pStyle w:val="Heading1"/>
        <w:spacing w:before="400" w:after="200"/>
      </w:pPr>
      <w:r>
        <w:t xml:space="preserve">5. Detailed Debt &amp; Interest Rate Analysis</w:t>
      </w:r>
    </w:p>
    <w:p>
      <w:pPr>
        <w:pStyle w:val="Heading2"/>
        <w:spacing w:after="200"/>
      </w:pPr>
      <w:r>
        <w:t xml:space="preserve">1. Where Did I Get the "27.8 Billion"?</w:t>
      </w:r>
    </w:p>
    <w:p>
      <w:pPr>
        <w:spacing w:after="200"/>
      </w:pPr>
      <w:r>
        <w:t xml:space="preserve">Source: Line Item total_debt from the Q1 FY26 Quarterly Report (via Internal API /api/financials).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Exact Figure (PKR)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Rounded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Total Debt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27,821,000,000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27.82 Billion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Total Equity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17,049,000,000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17.05 Billion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Net Debt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27.82B - 1.50B (Cash)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26.32 Billion</w:t>
            </w:r>
          </w:p>
        </w:tc>
      </w:tr>
    </w:tbl>
    <w:p>
      <w:pPr>
        <w:pStyle w:val="Heading2"/>
        <w:spacing w:after="200"/>
      </w:pPr>
      <w:r>
        <w:t xml:space="preserve">2. Interest Rates Analysis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Quarter Ending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Total Debt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Interest Expense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Effective Annual Rate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SBP Policy Rate (Avg)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Sep 30, 2025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27.82 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968 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~13.9%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17.5% → 16.0%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Jun 30, 2025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32.20 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505 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~6.3%*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19.5% → 17.5%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Mar 31, 2025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28.72 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1,427 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~19.9%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22.0%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Dec 31, 2024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27.91 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1,034 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~14.8%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22.0%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Mar 31, 2024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14.53 B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864 M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~23.8%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22.0%</w:t>
            </w:r>
          </w:p>
        </w:tc>
      </w:tr>
    </w:tbl>
    <w:p>
      <w:pPr>
        <w:spacing w:after="400"/>
      </w:pPr>
      <w:r>
        <w:t xml:space="preserve">Source: Company Financials &amp; SBP Data</w:t>
      </w:r>
    </w:p>
    <w:p>
      <w:pPr>
        <w:pStyle w:val="Heading1"/>
        <w:spacing w:before="400" w:after="200"/>
      </w:pPr>
      <w:r>
        <w:t xml:space="preserve">6. Seasonality: The "Golden Window"</w:t>
      </w:r>
    </w:p>
    <w:p>
      <w:pPr>
        <w:spacing w:after="200"/>
      </w:pPr>
      <w:r>
        <w:t xml:space="preserve">The data confirms a striking seasonal pattern. You are currently sitting in the statistically strongest window of the year.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Month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Avg Return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Probability</w:t>
            </w:r>
          </w:p>
        </w:tc>
        <w:tc>
          <w:tcPr>
            <w:shd w:fill="D3D3D3"/>
          </w:tcPr>
          <w:p>
            <w:pPr>
              <w:jc w:val="center"/>
            </w:pPr>
            <w:r>
              <w:rPr>
                <w:b/>
                <w:bCs/>
              </w:rPr>
              <w:t xml:space="preserve">Strategy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October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+9.33%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Accumulation Phase (Completed)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November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+8.21%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High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Trend Continuation (Current)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December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+16.48%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Very High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Peak Euphoria / Take Profit Zone</w:t>
            </w:r>
          </w:p>
        </w:tc>
      </w:tr>
      <w:tr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January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-10.04%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High Risk</w:t>
            </w:r>
          </w:p>
        </w:tc>
        <w:tc>
          <w:p>
            <w:pPr>
              <w:jc w:val="left"/>
            </w:pPr>
            <w:r>
              <w:rPr>
                <w:b w:val="false"/>
                <w:bCs w:val="false"/>
              </w:rPr>
              <w:t xml:space="preserve">SELL / SHORT. Post-holiday hangover.</w:t>
            </w:r>
          </w:p>
        </w:tc>
      </w:tr>
    </w:tbl>
    <w:p>
      <w:pPr>
        <w:pStyle w:val="Heading1"/>
        <w:spacing w:before="400" w:after="200"/>
      </w:pPr>
      <w:r>
        <w:t xml:space="preserve">7. Final Investment Strategy</w:t>
      </w:r>
    </w:p>
    <w:p>
      <w:pPr>
        <w:spacing w:after="200"/>
      </w:pPr>
      <w:r>
        <w:t xml:space="preserve">Recommendation: BUY for a 2-month swing trade or 6-month hold.</w:t>
      </w:r>
    </w:p>
    <w:p>
      <w:pPr>
        <w:spacing w:after="400"/>
      </w:pPr>
      <w:r>
        <w:rPr>
          <w:b/>
          <w:bCs/>
        </w:rPr>
        <w:t xml:space="preserve">• Entry: </w:t>
      </w:r>
      <w:r>
        <w:t xml:space="preserve">PKR 168 - 173 (Current levels are attractive post-dip).
</w:t>
      </w:r>
      <w:r>
        <w:rPr>
          <w:b/>
          <w:bCs/>
        </w:rPr>
        <w:t xml:space="preserve">• Target 1: </w:t>
      </w:r>
      <w:r>
        <w:t xml:space="preserve">PKR 200 (Psychological resistance).
</w:t>
      </w:r>
      <w:r>
        <w:rPr>
          <w:b/>
          <w:bCs/>
        </w:rPr>
        <w:t xml:space="preserve">• Target 2: </w:t>
      </w:r>
      <w:r>
        <w:t xml:space="preserve">PKR 225 (Based on 15x Forward EPS of ~15 PKR).
</w:t>
      </w:r>
      <w:r>
        <w:rPr>
          <w:b/>
          <w:bCs/>
        </w:rPr>
        <w:t xml:space="preserve">• Stop Loss: </w:t>
      </w:r>
      <w:r>
        <w:t xml:space="preserve">PKR 155 (Weekly Close). This invalidates the trend.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2025-11-20T12:23:16.278Z</dcterms:created>
  <dcterms:modified xsi:type="dcterms:W3CDTF">2025-11-20T12:23:16.283Z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