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Air Link Communication (AIRLINK) – The Comprehensive Investment Report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November 20, 2025</w:t>
      </w:r>
      <w:r>
        <w:rPr>
          <w:b/>
          <w:bCs/>
        </w:rPr>
        <w:t xml:space="preserve">
Time Horizon: </w:t>
      </w:r>
      <w:r>
        <w:t xml:space="preserve">3-6 Months</w:t>
      </w:r>
      <w:r>
        <w:rPr>
          <w:b/>
          <w:bCs/>
        </w:rPr>
        <w:t xml:space="preserve">
Rating: </w:t>
      </w:r>
      <w:r>
        <w:rPr>
          <w:b/>
          <w:bCs/>
        </w:rPr>
        <w:t xml:space="preserve">STRONG BUY / AGGRESSIVE ACCUMULATION</w:t>
      </w:r>
      <w:r>
        <w:rPr>
          <w:b/>
          <w:bCs/>
        </w:rPr>
        <w:t xml:space="preserve">
Current Price: </w:t>
      </w:r>
      <w:r>
        <w:t xml:space="preserve">PKR 171.98</w:t>
      </w:r>
      <w:r>
        <w:rPr>
          <w:b/>
          <w:bCs/>
        </w:rPr>
        <w:t xml:space="preserve">
Target Price: </w:t>
      </w:r>
      <w:r>
        <w:t xml:space="preserve">PKR 220 - 235</w:t>
      </w:r>
      <w:r>
        <w:rPr>
          <w:b/>
          <w:bCs/>
        </w:rPr>
        <w:t xml:space="preserve">
Risk Profile: </w:t>
      </w:r>
      <w:r>
        <w:t xml:space="preserve">High (Beta &gt; 1.2)</w:t>
      </w:r>
    </w:p>
    <w:p>
      <w:pPr>
        <w:pStyle w:val="Heading1"/>
        <w:spacing w:before="400" w:after="200"/>
      </w:pPr>
      <w:r>
        <w:t xml:space="preserve">1. Business Model Analysis &amp; Revenue Mix</w:t>
      </w:r>
    </w:p>
    <w:p>
      <w:pPr>
        <w:spacing w:after="200"/>
      </w:pPr>
      <w:r>
        <w:t xml:space="preserve">Air Link Communication operates as a hybrid distributor and assembler, creating a diversified revenue stream that mitigates risk.</w:t>
      </w:r>
    </w:p>
    <w:p>
      <w:pPr>
        <w:pStyle w:val="Heading2"/>
        <w:spacing w:after="100"/>
      </w:pPr>
      <w:r>
        <w:t xml:space="preserve">Segment Breakdown: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Segment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Share of Revenue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Brands/Partners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Margin Profile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Distribution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~60-65%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iPhone (Apple), Samsung, Huawei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Low Margin (3-5%) / High Volume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Local Assembly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~35-40%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Tecno, Itel, Xiaomi, Infinix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Medium Margin (8-12%) / Tax Incentives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Retail (Allied)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&lt;5%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Accessories, Lifestyle Products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 Margin (15%+) / Low Volume</w:t>
            </w:r>
          </w:p>
        </w:tc>
      </w:tr>
    </w:tbl>
    <w:p>
      <w:pPr>
        <w:spacing w:after="400"/>
      </w:pPr>
      <w:r>
        <w:rPr>
          <w:b/>
          <w:bCs/>
        </w:rPr>
        <w:t xml:space="preserve">Strategic Advantage: </w:t>
      </w:r>
      <w:r>
        <w:t xml:space="preserve">Local assembly enjoys significant tax breaks (0% sales tax on CKD kits vs high duties on CBU imports). By assembling Xiaomi and Tecno locally, AIRLINK captures price-sensitive consumers while maintaining higher margins than pure distribution.</w:t>
      </w:r>
    </w:p>
    <w:p>
      <w:pPr>
        <w:pStyle w:val="Heading1"/>
        <w:spacing w:before="400" w:after="200"/>
      </w:pPr>
      <w:r>
        <w:t xml:space="preserve">2. Executive Summary: EPS &amp; Net Income Projections</w:t>
      </w:r>
    </w:p>
    <w:p>
      <w:pPr>
        <w:pStyle w:val="Heading2"/>
        <w:spacing w:after="200"/>
      </w:pPr>
      <w:r>
        <w:t xml:space="preserve">Historic EPS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Fiscal Year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Annual EPS (PKR)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Net Income (PKR Billion)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Growth YoY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FY2026 (Q1 Only)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N/A (Partial Year)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4.75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+104.2%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11.76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4.63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+374.2%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2.48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0.96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-37.3%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4.28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-64.3%</w:t>
            </w:r>
          </w:p>
        </w:tc>
      </w:tr>
    </w:tbl>
    <w:p>
      <w:pPr>
        <w:pStyle w:val="Heading2"/>
        <w:spacing w:after="200"/>
      </w:pPr>
      <w:r>
        <w:t xml:space="preserve">Target EPS &amp; Implied Net Income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Current (TTM)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Target (FY26)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EPS (PKR)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13.89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18.00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+29.6%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Net Income (PKR Billion)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5.49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7.11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+29.6%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P/E Ratio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12.4x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15.0x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+21.0%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Implied Share Price (PKR)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171.98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270.00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+57.0%</w:t>
            </w:r>
          </w:p>
        </w:tc>
      </w:tr>
    </w:tbl>
    <w:p>
      <w:pPr>
        <w:pStyle w:val="Heading1"/>
        <w:spacing w:before="400" w:after="200"/>
      </w:pPr>
      <w:r>
        <w:t xml:space="preserve">3. Justification: Why Net Income Will Grow to PKR 7.11 Billion</w:t>
      </w:r>
    </w:p>
    <w:p>
      <w:pPr>
        <w:spacing w:after="100"/>
      </w:pPr>
      <w:r>
        <w:t xml:space="preserve">1. Interest Rate Savings (The Primary Catalyst)</w:t>
      </w:r>
    </w:p>
    <w:p>
      <w:pPr>
        <w:spacing w:after="400"/>
      </w:pPr>
      <w:r>
        <w:rPr>
          <w:b/>
          <w:bCs/>
        </w:rPr>
        <w:t xml:space="preserve">Current Situation: </w:t>
      </w:r>
      <w:r>
        <w:t xml:space="preserve">AIRLINK carries PKR 27.8 Billion in debt at an effective rate of ~14% (as of Sep 2025).
</w:t>
      </w:r>
      <w:r>
        <w:rPr>
          <w:b/>
          <w:bCs/>
        </w:rPr>
        <w:t xml:space="preserve">Historical Peak: </w:t>
      </w:r>
      <w:r>
        <w:t xml:space="preserve">In Mar 2024, the effective rate was 23.8% when SBP policy rate was 22%.
</w:t>
      </w:r>
      <w:r>
        <w:rPr>
          <w:b/>
          <w:bCs/>
        </w:rPr>
        <w:t xml:space="preserve">Forecast: </w:t>
      </w:r>
      <w:r>
        <w:t xml:space="preserve">SBP policy rate is expected to fall to 10-11% by end of FY26, bringing AIRLINK's effective rate to ~12%.
</w:t>
      </w:r>
      <w:r>
        <w:t xml:space="preserve">Interest Savings Calculation:
</w:t>
      </w:r>
      <w:r>
        <w:t xml:space="preserve">• Old Cost (Peak 2024): PKR 27.8B @ 24% = PKR 6.67 Billion/year
</w:t>
      </w:r>
      <w:r>
        <w:t xml:space="preserve">• Current Cost (Sep 2025): PKR 27.8B @ 14% = PKR 3.89 Billion/year
</w:t>
      </w:r>
      <w:r>
        <w:t xml:space="preserve">• Forecast Cost (FY26): PKR 27.8B @ 12% = PKR 3.34 Billion/year
</w:t>
      </w:r>
      <w:r>
        <w:t xml:space="preserve">• Annual Savings vs Peak: PKR 3.33 Billion
</w:t>
      </w:r>
      <w:r>
        <w:t xml:space="preserve">• Annual Savings vs Current: PKR 0.55 Billion
</w:t>
      </w:r>
      <w:r>
        <w:rPr>
          <w:b/>
          <w:bCs/>
        </w:rPr>
        <w:t xml:space="preserve">Impact: </w:t>
      </w:r>
      <w:r>
        <w:t xml:space="preserve">This PKR 0.55-3.33 Billion in interest savings flows directly to Pre-Tax Income.</w:t>
      </w:r>
    </w:p>
    <w:p>
      <w:pPr>
        <w:pStyle w:val="Heading1"/>
        <w:spacing w:before="400" w:after="200"/>
      </w:pPr>
      <w:r>
        <w:t xml:space="preserve">4. Macro Outlook &amp; Risks (With Sources)</w:t>
      </w:r>
    </w:p>
    <w:p>
      <w:pPr>
        <w:spacing w:after="200"/>
      </w:pPr>
      <w:r>
        <w:rPr>
          <w:b/>
          <w:bCs/>
        </w:rPr>
        <w:t xml:space="preserve">Monetary Policy (SBP): </w:t>
      </w:r>
      <w:r>
        <w:t xml:space="preserve">The State Bank of Pakistan (SBP) has maintained the policy rate at 11% as of Oct 2025 to balance growth and inflation. </w:t>
      </w:r>
      <w:r>
        <w:t xml:space="preserve">(Source: SBP Monetary Policy Statement Oct 2025, Dawn News)</w:t>
      </w:r>
    </w:p>
    <w:p>
      <w:pPr>
        <w:spacing w:after="200"/>
      </w:pPr>
      <w:r>
        <w:rPr>
          <w:b/>
          <w:bCs/>
        </w:rPr>
        <w:t xml:space="preserve">Inflation: </w:t>
      </w:r>
      <w:r>
        <w:t xml:space="preserve">Headline inflation stabilized at ~5.6% in Sep 2025, down from double digits, allowing room for further rate cuts. </w:t>
      </w:r>
      <w:r>
        <w:t xml:space="preserve">(Source: PBS Inflation Data, Geo News)</w:t>
      </w:r>
    </w:p>
    <w:p>
      <w:pPr>
        <w:spacing w:after="400"/>
      </w:pPr>
      <w:r>
        <w:rPr>
          <w:b/>
          <w:bCs/>
        </w:rPr>
        <w:t xml:space="preserve">GDP Growth: </w:t>
      </w:r>
      <w:r>
        <w:t xml:space="preserve">Projected at 3.25-4.25% for FY26, indicating a recovery in consumer purchasing power. </w:t>
      </w:r>
      <w:r>
        <w:t xml:space="preserve">(Source: SBP Annual Report 2025)</w:t>
      </w:r>
    </w:p>
    <w:p>
      <w:pPr>
        <w:pStyle w:val="Heading1"/>
        <w:spacing w:before="400" w:after="200"/>
      </w:pPr>
      <w:r>
        <w:t xml:space="preserve">5. Final Investment Strategy</w:t>
      </w:r>
    </w:p>
    <w:p>
      <w:pPr>
        <w:spacing w:after="200"/>
      </w:pPr>
      <w:r>
        <w:t xml:space="preserve">Recommendation: BUY for a 2-month swing trade or 6-month hold.</w:t>
      </w:r>
    </w:p>
    <w:p>
      <w:pPr>
        <w:spacing w:after="400"/>
      </w:pPr>
      <w:r>
        <w:rPr>
          <w:b/>
          <w:bCs/>
        </w:rPr>
        <w:t xml:space="preserve">• Entry: </w:t>
      </w:r>
      <w:r>
        <w:t xml:space="preserve">PKR 168 - 173 (Current levels are attractive post-dip).
</w:t>
      </w:r>
      <w:r>
        <w:rPr>
          <w:b/>
          <w:bCs/>
        </w:rPr>
        <w:t xml:space="preserve">• Target 1: </w:t>
      </w:r>
      <w:r>
        <w:t xml:space="preserve">PKR 200 (Psychological resistance).
</w:t>
      </w:r>
      <w:r>
        <w:rPr>
          <w:b/>
          <w:bCs/>
        </w:rPr>
        <w:t xml:space="preserve">• Target 2: </w:t>
      </w:r>
      <w:r>
        <w:t xml:space="preserve">PKR 225 (Based on 15x Forward EPS of ~15 PKR).
</w:t>
      </w:r>
      <w:r>
        <w:rPr>
          <w:b/>
          <w:bCs/>
        </w:rPr>
        <w:t xml:space="preserve">• Stop Loss: </w:t>
      </w:r>
      <w:r>
        <w:t xml:space="preserve">PKR 155 (Weekly Close).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2025-11-20T11:05:28.667Z</dcterms:created>
  <dcterms:modified xsi:type="dcterms:W3CDTF">2025-11-20T11:05:28.676Z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