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Air Link Communication (AIRLINK) – The Comprehensive Investment Report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November 20, 2025</w:t>
      </w:r>
      <w:r>
        <w:rPr>
          <w:b/>
          <w:bCs/>
        </w:rPr>
        <w:t xml:space="preserve">
Time Horizon: </w:t>
      </w:r>
      <w:r>
        <w:t xml:space="preserve">3-6 Months</w:t>
      </w:r>
      <w:r>
        <w:rPr>
          <w:b/>
          <w:bCs/>
        </w:rPr>
        <w:t xml:space="preserve">
Rating: </w:t>
      </w:r>
      <w:r>
        <w:rPr>
          <w:b/>
          <w:bCs/>
        </w:rPr>
        <w:t xml:space="preserve">STRONG BUY / AGGRESSIVE ACCUMULATION</w:t>
      </w:r>
      <w:r>
        <w:rPr>
          <w:b/>
          <w:bCs/>
        </w:rPr>
        <w:t xml:space="preserve">
Current Price: </w:t>
      </w:r>
      <w:r>
        <w:t xml:space="preserve">PKR 171.98</w:t>
      </w:r>
      <w:r>
        <w:rPr>
          <w:b/>
          <w:bCs/>
        </w:rPr>
        <w:t xml:space="preserve">
Target Price: </w:t>
      </w:r>
      <w:r>
        <w:t xml:space="preserve">PKR 220 - 235</w:t>
      </w:r>
      <w:r>
        <w:rPr>
          <w:b/>
          <w:bCs/>
        </w:rPr>
        <w:t xml:space="preserve">
Risk Profile: </w:t>
      </w:r>
      <w:r>
        <w:t xml:space="preserve">High (Beta &gt; 1.2)</w:t>
      </w:r>
    </w:p>
    <w:p>
      <w:pPr>
        <w:pStyle w:val="Heading1"/>
        <w:spacing w:before="400" w:after="200"/>
      </w:pPr>
      <w:r>
        <w:t xml:space="preserve">1. Investment Thesis &amp; Executive Summary</w:t>
      </w:r>
    </w:p>
    <w:p>
      <w:pPr>
        <w:spacing w:after="200"/>
      </w:pPr>
      <w:r>
        <w:t xml:space="preserve">AIRLINK is a high-growth technology play trading at a discount to its intrinsic value. The company is currently benefiting from a 'triple-tailwind':</w:t>
      </w:r>
    </w:p>
    <w:p>
      <w:pPr>
        <w:spacing w:after="400"/>
      </w:pPr>
      <w:r>
        <w:rPr>
          <w:b/>
          <w:bCs/>
        </w:rPr>
        <w:t xml:space="preserve">1. Monetary Easing: </w:t>
      </w:r>
      <w:r>
        <w:t xml:space="preserve">Falling interest rates are directly reducing finance costs, boosting net income.</w:t>
      </w:r>
      <w:r>
        <w:rPr>
          <w:b/>
          <w:bCs/>
        </w:rPr>
        <w:t xml:space="preserve">
2. Seasonal Strength: </w:t>
      </w:r>
      <w:r>
        <w:t xml:space="preserve">Entering Q2 (Oct-Dec), historically the strongest quarter for sales.</w:t>
      </w:r>
      <w:r>
        <w:rPr>
          <w:b/>
          <w:bCs/>
        </w:rPr>
        <w:t xml:space="preserve">
3. Operational Efficiency: </w:t>
      </w:r>
      <w:r>
        <w:t xml:space="preserve">Record margins in Q1 FY26 prove the business model is maturing.</w:t>
      </w:r>
    </w:p>
    <w:p>
      <w:pPr>
        <w:pStyle w:val="Heading1"/>
        <w:spacing w:before="400" w:after="200"/>
      </w:pPr>
      <w:r>
        <w:t xml:space="preserve">2. Business Model: More Than Just an iPhone Seller</w:t>
      </w:r>
    </w:p>
    <w:p>
      <w:pPr>
        <w:spacing w:after="200"/>
      </w:pPr>
      <w:r>
        <w:t xml:space="preserve">Air Link operates a hybrid business model that balances volume (distribution) with margin (manufacturing).</w:t>
      </w:r>
    </w:p>
    <w:p>
      <w:pPr>
        <w:pStyle w:val="Heading3"/>
        <w:spacing w:after="100"/>
      </w:pPr>
      <w:r>
        <w:t xml:space="preserve">A. Distribution (60-70% of Revenue)</w:t>
      </w:r>
    </w:p>
    <w:p>
      <w:pPr>
        <w:spacing w:after="200"/>
      </w:pPr>
      <w:r>
        <w:rPr>
          <w:b/>
          <w:bCs/>
        </w:rPr>
        <w:t xml:space="preserve">Role: </w:t>
      </w:r>
      <w:r>
        <w:t xml:space="preserve">Official partner for Samsung, Huawei, Xiaomi, Tecno, Itel, TCL, and authorized reseller for Apple.
</w:t>
      </w:r>
      <w:r>
        <w:rPr>
          <w:b/>
          <w:bCs/>
        </w:rPr>
        <w:t xml:space="preserve">Strategy: </w:t>
      </w:r>
      <w:r>
        <w:t xml:space="preserve">High volume, low margin (3-5% net). The key driver here is inventory turnover.
</w:t>
      </w:r>
      <w:r>
        <w:rPr>
          <w:b/>
          <w:bCs/>
        </w:rPr>
        <w:t xml:space="preserve">Moat: </w:t>
      </w:r>
      <w:r>
        <w:t xml:space="preserve">A network of 16 hubs and 5,000+ retail outlets makes it the go-to partner for any brand entering Pakistan.
</w:t>
      </w:r>
      <w:r>
        <w:rPr>
          <w:b/>
          <w:bCs/>
        </w:rPr>
        <w:t xml:space="preserve">Source: </w:t>
      </w:r>
      <w:hyperlink w:history="1" r:id="rIdgnm7tsterybvl7bhmitkt">
        <w:r>
          <w:rPr>
            <w:rStyle w:val="Hyperlink"/>
          </w:rPr>
          <w:t xml:space="preserve">Air Link Official Partner List</w:t>
        </w:r>
      </w:hyperlink>
    </w:p>
    <w:p>
      <w:pPr>
        <w:pStyle w:val="Heading3"/>
        <w:spacing w:after="100"/>
      </w:pPr>
      <w:r>
        <w:t xml:space="preserve">B. Manufacturing &amp; Assembly (The Growth Engine)</w:t>
      </w:r>
    </w:p>
    <w:p>
      <w:pPr>
        <w:spacing w:after="400"/>
      </w:pPr>
      <w:r>
        <w:rPr>
          <w:b/>
          <w:bCs/>
        </w:rPr>
        <w:t xml:space="preserve">Facility: </w:t>
      </w:r>
      <w:r>
        <w:t xml:space="preserve">State-of-the-art plant in Lahore with ~500k units/month capacity.
</w:t>
      </w:r>
      <w:r>
        <w:rPr>
          <w:b/>
          <w:bCs/>
        </w:rPr>
        <w:t xml:space="preserve">Advantage: </w:t>
      </w:r>
      <w:r>
        <w:t xml:space="preserve">Assembling phones (Xiaomi/Tecno) locally avoids high regulatory duties on CBU (finished) imports, allowing AIRLINK to undercut grey market prices.
</w:t>
      </w:r>
      <w:r>
        <w:rPr>
          <w:b/>
          <w:bCs/>
        </w:rPr>
        <w:t xml:space="preserve">Expansion: </w:t>
      </w:r>
      <w:r>
        <w:t xml:space="preserve">Venturing into Smart TVs and Audio products to capture the broader lifestyle market.
</w:t>
      </w:r>
      <w:r>
        <w:rPr>
          <w:b/>
          <w:bCs/>
        </w:rPr>
        <w:t xml:space="preserve">Source: </w:t>
      </w:r>
      <w:hyperlink w:history="1" r:id="rIdvn68sy8xgp5i5lmn8u4ag">
        <w:r>
          <w:rPr>
            <w:rStyle w:val="Hyperlink"/>
          </w:rPr>
          <w:t xml:space="preserve">Manufacturing Capabilities</w:t>
        </w:r>
      </w:hyperlink>
    </w:p>
    <w:p>
      <w:pPr>
        <w:pStyle w:val="Heading1"/>
        <w:spacing w:before="400" w:after="200"/>
      </w:pPr>
      <w:r>
        <w:t xml:space="preserve">3. Financial Health &amp; Projections</w:t>
      </w:r>
    </w:p>
    <w:p>
      <w:pPr>
        <w:pStyle w:val="Heading2"/>
        <w:spacing w:after="200"/>
      </w:pPr>
      <w:r>
        <w:t xml:space="preserve">Historic Earnings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Fiscal Year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Annual EPS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Net Income (PKR Billion)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YoY Growth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FY2026 (Q1 Only)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4.75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+104%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11.76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4.63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+374%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2.48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0.96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-37%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4.28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-64%</w:t>
            </w:r>
          </w:p>
        </w:tc>
      </w:tr>
    </w:tbl>
    <w:p>
      <w:pPr>
        <w:pStyle w:val="Heading2"/>
        <w:spacing w:after="200"/>
      </w:pPr>
      <w:r>
        <w:t xml:space="preserve">Debt Analysis: The Interest Rate Arbitrage</w:t>
      </w:r>
    </w:p>
    <w:p>
      <w:pPr>
        <w:spacing w:after="400"/>
      </w:pPr>
      <w:r>
        <w:rPr>
          <w:b/>
          <w:bCs/>
        </w:rPr>
        <w:t xml:space="preserve">Total Debt: </w:t>
      </w:r>
      <w:r>
        <w:t xml:space="preserve">PKR 27.82 Billion (as of Sep 30, 2025).
</w:t>
      </w:r>
      <w:r>
        <w:rPr>
          <w:i/>
          <w:iCs/>
        </w:rPr>
        <w:t xml:space="preserve">Source: </w:t>
      </w:r>
      <w:r>
        <w:t xml:space="preserve">Q1 FY26 Financial Statements (Line Item: Total Debt).
</w:t>
      </w:r>
      <w:r>
        <w:rPr>
          <w:b/>
          <w:bCs/>
        </w:rPr>
        <w:t xml:space="preserve">The Opportunity: </w:t>
      </w:r>
      <w:r>
        <w:t xml:space="preserve">AIRLINK was paying ~24% interest in early 2024. With SBP rates falling to 11-13%, the finance cost is crashing. This creates an 'automatic' profit boost.
</w:t>
      </w:r>
      <w:r>
        <w:rPr>
          <w:b/>
          <w:bCs/>
        </w:rPr>
        <w:t xml:space="preserve">Source: </w:t>
      </w:r>
      <w:hyperlink w:history="1" r:id="rId_wc7ueuipz3hclzqlqvdk">
        <w:r>
          <w:rPr>
            <w:rStyle w:val="Hyperlink"/>
          </w:rPr>
          <w:t xml:space="preserve">SBP Monetary Policy (Rate Cuts)</w:t>
        </w:r>
      </w:hyperlink>
    </w:p>
    <w:p>
      <w:pPr>
        <w:pStyle w:val="Heading2"/>
        <w:spacing w:after="200"/>
      </w:pPr>
      <w:r>
        <w:t xml:space="preserve">Valuation &amp;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Current (TTM)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Target (FY26 Forecast)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EPS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PKR 13.89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PKR 18.00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Driven by margin expansion &amp; lower rates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P/E Ratio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12.4x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15.0x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Re-rating due to growth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Share Price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PKR 171.98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PKR 270.00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Implied value</w:t>
            </w:r>
          </w:p>
        </w:tc>
      </w:tr>
    </w:tbl>
    <w:p>
      <w:pPr>
        <w:pStyle w:val="Heading1"/>
        <w:spacing w:before="400" w:after="200"/>
      </w:pPr>
      <w:r>
        <w:t xml:space="preserve">4. Seasonality Analysis: Timing the Trade</w:t>
      </w:r>
    </w:p>
    <w:p>
      <w:pPr>
        <w:spacing w:after="200"/>
      </w:pPr>
      <w:r>
        <w:t xml:space="preserve">Historical data (last 5 years) confirms Q4 (Oct-Dec) is the optimal holding period.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Month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Avg Return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October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+9.33%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BUY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November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+8.21%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HOLD / ACCUMULATE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+16.48%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TAKE PROFIT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January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-10.04%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SELL / AVOID</w:t>
            </w:r>
          </w:p>
        </w:tc>
      </w:tr>
    </w:tbl>
    <w:p>
      <w:pPr>
        <w:pStyle w:val="Heading1"/>
        <w:spacing w:before="400" w:after="200"/>
      </w:pPr>
      <w:r>
        <w:t xml:space="preserve">5. Key Risks to Watch</w:t>
      </w:r>
    </w:p>
    <w:p>
      <w:pPr>
        <w:spacing w:after="400"/>
      </w:pPr>
      <w:r>
        <w:rPr>
          <w:b/>
          <w:bCs/>
        </w:rPr>
        <w:t xml:space="preserve">1. Import Ban Risk: </w:t>
      </w:r>
      <w:r>
        <w:t xml:space="preserve">If Pakistan's forex reserves dip, mobile phones are often the first to face import restrictions. This would crush revenue (as seen in 2023).
</w:t>
      </w:r>
      <w:r>
        <w:rPr>
          <w:b/>
          <w:bCs/>
        </w:rPr>
        <w:t xml:space="preserve">2. Exchange Rate: </w:t>
      </w:r>
      <w:r>
        <w:t xml:space="preserve">A sharp PKR depreciation would erode margins and demand. Stability is key.
</w:t>
      </w:r>
      <w:r>
        <w:rPr>
          <w:b/>
          <w:bCs/>
        </w:rPr>
        <w:t xml:space="preserve">3. Taxation: </w:t>
      </w:r>
      <w:r>
        <w:t xml:space="preserve">Increases in PTA tax or GST would dampen demand for high-end devices.</w:t>
      </w:r>
    </w:p>
    <w:p>
      <w:pPr>
        <w:pStyle w:val="Heading1"/>
        <w:spacing w:before="400" w:after="200"/>
      </w:pPr>
      <w:r>
        <w:t xml:space="preserve">6. Final Investment Strategy</w:t>
      </w:r>
    </w:p>
    <w:p>
      <w:pPr>
        <w:spacing w:after="400"/>
      </w:pPr>
      <w:r>
        <w:rPr>
          <w:b/>
          <w:bCs/>
        </w:rPr>
        <w:t xml:space="preserve">Recommendation: </w:t>
      </w:r>
      <w:r>
        <w:t xml:space="preserve">BUY
</w:t>
      </w:r>
      <w:r>
        <w:rPr>
          <w:b/>
          <w:bCs/>
        </w:rPr>
        <w:t xml:space="preserve">Entry Zone: </w:t>
      </w:r>
      <w:r>
        <w:t xml:space="preserve">PKR 168 - 173
</w:t>
      </w:r>
      <w:r>
        <w:rPr>
          <w:b/>
          <w:bCs/>
        </w:rPr>
        <w:t xml:space="preserve">Target Price: </w:t>
      </w:r>
      <w:r>
        <w:t xml:space="preserve">PKR 220 - 235 (Short Term), PKR 270 (Long Term)
</w:t>
      </w:r>
      <w:r>
        <w:rPr>
          <w:b/>
          <w:bCs/>
        </w:rPr>
        <w:t xml:space="preserve">Stop Loss: </w:t>
      </w:r>
      <w:r>
        <w:t xml:space="preserve">Closing below PKR 155
</w:t>
      </w:r>
      <w:r>
        <w:rPr>
          <w:b/>
          <w:bCs/>
        </w:rPr>
        <w:t xml:space="preserve">Timeframe: </w:t>
      </w:r>
      <w:r>
        <w:t xml:space="preserve">Hold until late December 2025 to capture seasonal strength.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nm7tsterybvl7bhmitkt" Type="http://schemas.openxmlformats.org/officeDocument/2006/relationships/hyperlink" Target="https://www.airlinkcommunication.com/about-us" TargetMode="External"/><Relationship Id="rIdvn68sy8xgp5i5lmn8u4ag" Type="http://schemas.openxmlformats.org/officeDocument/2006/relationships/hyperlink" Target="https://www.airlinkcommunication.com/manufacturing" TargetMode="External"/><Relationship Id="rId_wc7ueuipz3hclzqlqvdk" Type="http://schemas.openxmlformats.org/officeDocument/2006/relationships/hyperlink" Target="https://www.sbp.org.pk/m_policy/index.asp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2025-11-20T13:12:55.409Z</dcterms:created>
  <dcterms:modified xsi:type="dcterms:W3CDTF">2025-11-20T13:12:55.415Z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