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Air Link Communication (AIRLINK) – The Comprehensive Investment Report</w:t>
      </w:r>
    </w:p>
    <w:p>
      <w:pPr>
        <w:spacing w:after="400"/>
      </w:pPr>
      <w:r>
        <w:rPr>
          <w:b/>
          <w:bCs/>
        </w:rPr>
        <w:t xml:space="preserve">Date: </w:t>
      </w:r>
      <w:r>
        <w:t xml:space="preserve">November 20, 2025</w:t>
      </w:r>
      <w:r>
        <w:rPr>
          <w:b/>
          <w:bCs/>
        </w:rPr>
        <w:t xml:space="preserve">
Time Horizon: </w:t>
      </w:r>
      <w:r>
        <w:t xml:space="preserve">3-6 Months</w:t>
      </w:r>
      <w:r>
        <w:rPr>
          <w:b/>
          <w:bCs/>
        </w:rPr>
        <w:t xml:space="preserve">
Rating: </w:t>
      </w:r>
      <w:r>
        <w:rPr>
          <w:b/>
          <w:bCs/>
        </w:rPr>
        <w:t xml:space="preserve">STRONG BUY / AGGRESSIVE ACCUMULATION</w:t>
      </w:r>
      <w:r>
        <w:rPr>
          <w:b/>
          <w:bCs/>
        </w:rPr>
        <w:t xml:space="preserve">
Current Price: </w:t>
      </w:r>
      <w:r>
        <w:t xml:space="preserve">PKR 171.98</w:t>
      </w:r>
      <w:r>
        <w:rPr>
          <w:b/>
          <w:bCs/>
        </w:rPr>
        <w:t xml:space="preserve">
Target Price: </w:t>
      </w:r>
      <w:r>
        <w:t xml:space="preserve">PKR 220 - 235</w:t>
      </w:r>
      <w:r>
        <w:rPr>
          <w:b/>
          <w:bCs/>
        </w:rPr>
        <w:t xml:space="preserve">
Risk Profile: </w:t>
      </w:r>
      <w:r>
        <w:t xml:space="preserve">High (Beta &gt; 1.2)</w:t>
      </w:r>
    </w:p>
    <w:p>
      <w:pPr>
        <w:pStyle w:val="Heading1"/>
        <w:spacing w:before="400" w:after="200"/>
      </w:pPr>
      <w:r>
        <w:t xml:space="preserve">1. Business Model &amp; Revenue Drivers</w:t>
      </w:r>
    </w:p>
    <w:p>
      <w:pPr>
        <w:spacing w:after="200"/>
      </w:pPr>
      <w:r>
        <w:t xml:space="preserve">Air Link operates as a hybrid distributor-manufacturer, reducing dependency on any single revenue stream.</w:t>
      </w:r>
    </w:p>
    <w:p>
      <w:pPr>
        <w:pStyle w:val="Heading3"/>
        <w:spacing w:after="100"/>
      </w:pPr>
      <w:r>
        <w:t xml:space="preserve">A. Distribution Segment (The Cash Cow)</w:t>
      </w:r>
    </w:p>
    <w:p>
      <w:pPr>
        <w:spacing w:after="200"/>
      </w:pPr>
      <w:r>
        <w:rPr>
          <w:b/>
          <w:bCs/>
        </w:rPr>
        <w:t xml:space="preserve">• Partners: </w:t>
      </w:r>
      <w:r>
        <w:t xml:space="preserve">Official distributor for Samsung, Huawei, Xiaomi, Tecno, Itel, TCL, and authorized reseller for Apple (iPhones).
</w:t>
      </w:r>
      <w:r>
        <w:rPr>
          <w:b/>
          <w:bCs/>
        </w:rPr>
        <w:t xml:space="preserve">• Revenue Contribution: </w:t>
      </w:r>
      <w:r>
        <w:t xml:space="preserve">~60-70% of total revenue.
</w:t>
      </w:r>
      <w:r>
        <w:rPr>
          <w:b/>
          <w:bCs/>
        </w:rPr>
        <w:t xml:space="preserve">• Profitability: </w:t>
      </w:r>
      <w:r>
        <w:t xml:space="preserve">Low margin (3-5% net) but high volume. Relies on inventory turnover.
</w:t>
      </w:r>
      <w:r>
        <w:rPr>
          <w:b/>
          <w:bCs/>
        </w:rPr>
        <w:t xml:space="preserve">• Competitive Moat: </w:t>
      </w:r>
      <w:r>
        <w:t xml:space="preserve">Nationwide network of 1,100+ wholesalers and 4,000+ retailers makes it indispensable for global brands entering Pakistan.
</w:t>
      </w:r>
      <w:r>
        <w:rPr>
          <w:b/>
          <w:bCs/>
        </w:rPr>
        <w:t xml:space="preserve">• Source: </w:t>
      </w:r>
      <w:hyperlink w:history="1" r:id="rIdxunhk65jreco58yrmdhxt">
        <w:r>
          <w:rPr>
            <w:rStyle w:val="Hyperlink"/>
          </w:rPr>
          <w:t xml:space="preserve">Air Link Official Partners List</w:t>
        </w:r>
      </w:hyperlink>
    </w:p>
    <w:p>
      <w:pPr>
        <w:pStyle w:val="Heading3"/>
        <w:spacing w:after="100"/>
      </w:pPr>
      <w:r>
        <w:t xml:space="preserve">B. Manufacturing/Assembly Segment (The Growth Engine)</w:t>
      </w:r>
    </w:p>
    <w:p>
      <w:pPr>
        <w:spacing w:after="200"/>
      </w:pPr>
      <w:r>
        <w:rPr>
          <w:b/>
          <w:bCs/>
        </w:rPr>
        <w:t xml:space="preserve">• Facility: </w:t>
      </w:r>
      <w:r>
        <w:t xml:space="preserve">State-of-the-art assembly plant in Lahore with capacity of ~500,000+ units/month.
</w:t>
      </w:r>
      <w:r>
        <w:rPr>
          <w:b/>
          <w:bCs/>
        </w:rPr>
        <w:t xml:space="preserve">• Key Contract: </w:t>
      </w:r>
      <w:r>
        <w:t xml:space="preserve">Assembling Xiaomi phones locally. This avoids high import duties on finished goods (CBU), allowing competitive pricing.
</w:t>
      </w:r>
      <w:r>
        <w:rPr>
          <w:b/>
          <w:bCs/>
        </w:rPr>
        <w:t xml:space="preserve">• New Ventures: </w:t>
      </w:r>
      <w:r>
        <w:t xml:space="preserve">Diversifying into Xiaomi Smart TVs and Audio products (Source: Company Announcements 2024/25).
</w:t>
      </w:r>
      <w:r>
        <w:rPr>
          <w:b/>
          <w:bCs/>
        </w:rPr>
        <w:t xml:space="preserve">• Source: </w:t>
      </w:r>
      <w:hyperlink w:history="1" r:id="rId_cl8-grfqdavrkidpkeoa">
        <w:r>
          <w:rPr>
            <w:rStyle w:val="Hyperlink"/>
          </w:rPr>
          <w:t xml:space="preserve">Air Link Manufacturing Details</w:t>
        </w:r>
      </w:hyperlink>
    </w:p>
    <w:p>
      <w:pPr>
        <w:pStyle w:val="Heading1"/>
        <w:spacing w:before="400" w:after="200"/>
      </w:pPr>
      <w:r>
        <w:t xml:space="preserve">2. Executive Summary: EPS &amp; Net Income Projections</w:t>
      </w:r>
    </w:p>
    <w:p>
      <w:pPr>
        <w:pStyle w:val="Heading2"/>
        <w:spacing w:after="200"/>
      </w:pPr>
      <w:r>
        <w:t xml:space="preserve">Historic EPS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Fiscal Year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Annual EPS (PKR)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Net Income (PKR Billion)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Growth YoY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FY2026 (Q1 Only)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1.58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N/A (Partial Year)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12.01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4.75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+104.2%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11.76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4.63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+374.2%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2.48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0.96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-37.3%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4.28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1.53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-64.3%</w:t>
            </w:r>
          </w:p>
        </w:tc>
      </w:tr>
    </w:tbl>
    <w:p>
      <w:pPr>
        <w:spacing w:after="400"/>
      </w:pPr>
      <w:r>
        <w:rPr>
          <w:b/>
          <w:bCs/>
        </w:rPr>
        <w:t xml:space="preserve">Current TTM EPS: </w:t>
      </w:r>
      <w:r>
        <w:t xml:space="preserve">PKR 13.89</w:t>
      </w:r>
      <w:r>
        <w:rPr>
          <w:b/>
          <w:bCs/>
        </w:rPr>
        <w:t xml:space="preserve">
Current TTM Net Income: </w:t>
      </w:r>
      <w:r>
        <w:t xml:space="preserve">PKR 5.49 Billion</w:t>
      </w:r>
    </w:p>
    <w:p>
      <w:pPr>
        <w:pStyle w:val="Heading2"/>
        <w:spacing w:after="200"/>
      </w:pPr>
      <w:r>
        <w:t xml:space="preserve">Target EPS &amp; Implied Net Income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Current (TTM)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Target (FY26)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Change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EPS (PKR)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13.89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18.00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+29.6%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Net Income (PKR Billion)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5.49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7.11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+29.6%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P/E Ratio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12.4x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15.0x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+21.0%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Implied Share Price (PKR)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171.98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270.00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+57.0%</w:t>
            </w:r>
          </w:p>
        </w:tc>
      </w:tr>
    </w:tbl>
    <w:p>
      <w:pPr>
        <w:pStyle w:val="Heading2"/>
        <w:spacing w:before="400" w:after="200"/>
      </w:pPr>
      <w:r>
        <w:t xml:space="preserve">Justification: Why Net Income Will Grow to PKR 7.11 Billion</w:t>
      </w:r>
    </w:p>
    <w:p>
      <w:pPr>
        <w:spacing w:after="100"/>
      </w:pPr>
      <w:r>
        <w:t xml:space="preserve">1. Interest Rate Savings (The Primary Catalyst)</w:t>
      </w:r>
    </w:p>
    <w:p>
      <w:pPr>
        <w:spacing w:after="400"/>
      </w:pPr>
      <w:r>
        <w:rPr>
          <w:b/>
          <w:bCs/>
        </w:rPr>
        <w:t xml:space="preserve">Current Situation: </w:t>
      </w:r>
      <w:r>
        <w:t xml:space="preserve">AIRLINK carries PKR 27.8 Billion in debt at an effective rate of ~14% (as of Sep 2025).
</w:t>
      </w:r>
      <w:r>
        <w:rPr>
          <w:b/>
          <w:bCs/>
        </w:rPr>
        <w:t xml:space="preserve">Forecast: </w:t>
      </w:r>
      <w:r>
        <w:t xml:space="preserve">SBP policy rate is expected to fall to 10-11% by end of FY26, bringing AIRLINK's effective rate to ~12%.
</w:t>
      </w:r>
      <w:r>
        <w:t xml:space="preserve">Interest Savings Calculation:
</w:t>
      </w:r>
      <w:r>
        <w:t xml:space="preserve">• Old Cost (Peak 2024): PKR 27.8B @ 24% = PKR 6.67 Billion/year
</w:t>
      </w:r>
      <w:r>
        <w:t xml:space="preserve">• Current Cost (Sep 2025): PKR 27.8B @ 14% = PKR 3.89 Billion/year
</w:t>
      </w:r>
      <w:r>
        <w:t xml:space="preserve">• Forecast Cost (FY26): PKR 27.8B @ 12% = PKR 3.34 Billion/year
</w:t>
      </w:r>
      <w:r>
        <w:t xml:space="preserve">• Annual Savings vs Peak: PKR 3.33 Billion
</w:t>
      </w:r>
      <w:r>
        <w:t xml:space="preserve">• Annual Savings vs Current: PKR 0.55 Billion
</w:t>
      </w:r>
      <w:r>
        <w:rPr>
          <w:b/>
          <w:bCs/>
        </w:rPr>
        <w:t xml:space="preserve">Impact: </w:t>
      </w:r>
      <w:r>
        <w:t xml:space="preserve">This PKR 0.55-3.33 Billion in interest savings flows directly to Pre-Tax Income, translating to PKR 0.40-2.40 Billion in Net Income (after 29% tax rate).</w:t>
      </w:r>
    </w:p>
    <w:p>
      <w:pPr>
        <w:pStyle w:val="Heading1"/>
        <w:spacing w:before="400" w:after="200"/>
      </w:pPr>
      <w:r>
        <w:t xml:space="preserve">3. Macro Outlook &amp; Verification of Claims</w:t>
      </w:r>
    </w:p>
    <w:p>
      <w:pPr>
        <w:pStyle w:val="Heading2"/>
        <w:spacing w:after="200"/>
      </w:pPr>
      <w:r>
        <w:t xml:space="preserve">The Bull Case (Macro Tailwinds)</w:t>
      </w:r>
    </w:p>
    <w:p>
      <w:pPr>
        <w:spacing w:after="400"/>
      </w:pPr>
      <w:r>
        <w:rPr>
          <w:b/>
          <w:bCs/>
        </w:rPr>
        <w:t xml:space="preserve">1. Monetary Easing: </w:t>
      </w:r>
      <w:r>
        <w:t xml:space="preserve">SBP cuts are aggressive. Every 1% cut = +200M PKR Net Profit for AIRLINK.
</w:t>
      </w:r>
      <w:r>
        <w:rPr>
          <w:i/>
          <w:iCs/>
        </w:rPr>
        <w:t xml:space="preserve">   Source: </w:t>
      </w:r>
      <w:hyperlink w:history="1" r:id="rIdv2du0veonnqvm91qo4jnz">
        <w:r>
          <w:rPr>
            <w:rStyle w:val="Hyperlink"/>
          </w:rPr>
          <w:t xml:space="preserve">SBP Monetary Policy Statement (Nov 2025)</w:t>
        </w:r>
      </w:hyperlink>
      <w:r>
        <w:t xml:space="preserve">
</w:t>
      </w:r>
      <w:r>
        <w:rPr>
          <w:b/>
          <w:bCs/>
        </w:rPr>
        <w:t xml:space="preserve">2. Inflation Trends: </w:t>
      </w:r>
      <w:r>
        <w:t xml:space="preserve">Inflation dropped to 3.2% in mid-2025 before stabilizing at 5.6%.
</w:t>
      </w:r>
      <w:r>
        <w:rPr>
          <w:i/>
          <w:iCs/>
        </w:rPr>
        <w:t xml:space="preserve">   Source: </w:t>
      </w:r>
      <w:hyperlink w:history="1" r:id="rIdilhfaobk-nujb26o0hlop">
        <w:r>
          <w:rPr>
            <w:rStyle w:val="Hyperlink"/>
          </w:rPr>
          <w:t xml:space="preserve">PBS Inflation Reports</w:t>
        </w:r>
      </w:hyperlink>
    </w:p>
    <w:p>
      <w:pPr>
        <w:pStyle w:val="Heading1"/>
        <w:spacing w:before="400" w:after="200"/>
      </w:pPr>
      <w:r>
        <w:t xml:space="preserve">5. Detailed Debt &amp; Interest Rate Analysis</w:t>
      </w:r>
    </w:p>
    <w:p>
      <w:pPr>
        <w:pStyle w:val="Heading2"/>
        <w:spacing w:after="200"/>
      </w:pPr>
      <w:r>
        <w:t xml:space="preserve">1. Where Did I Get the "27.8 Billion"?</w:t>
      </w:r>
    </w:p>
    <w:p>
      <w:pPr>
        <w:spacing w:after="200"/>
      </w:pPr>
      <w:r>
        <w:t xml:space="preserve">Source: Line Item total_debt from the Q1 FY26 Quarterly Report (via Internal API /api/financials).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Exact Figure (PKR)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Rounded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Total Debt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27,821,000,000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27.82 Billion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Total Equity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17,049,000,000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17.05 Billion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Net Debt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27.82B - 1.50B (Cash)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26.32 Billion</w:t>
            </w:r>
          </w:p>
        </w:tc>
      </w:tr>
    </w:tbl>
    <w:p>
      <w:pPr>
        <w:pStyle w:val="Heading2"/>
        <w:spacing w:after="200"/>
      </w:pPr>
      <w:r>
        <w:t xml:space="preserve">2. Interest Rates: The "Real Cost" of Borrowing</w:t>
      </w:r>
    </w:p>
    <w:p>
      <w:pPr>
        <w:spacing w:after="200"/>
      </w:pPr>
      <w:r>
        <w:t xml:space="preserve">I calculated AIRLINK's Effective Interest Rate by taking their actual Interest Expense and dividing it by their Total Debt.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Quarter Ending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Total Debt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Interest Expense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Effective Annual Rate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SBP Policy Rate (Avg)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Sep 30, 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27.82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968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~13.9%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17.5% → 16.0%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Jun 30, 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32.20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505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~6.3%*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19.5% → 17.5%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Mar 31, 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28.72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1,427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~19.9%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22.0%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Dec 31, 2024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27.91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1,034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~14.8%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22.0%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Mar 31, 2024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14.53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864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~23.8%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22.0%</w:t>
            </w:r>
          </w:p>
        </w:tc>
      </w:tr>
    </w:tbl>
    <w:p>
      <w:pPr>
        <w:spacing w:after="200"/>
      </w:pPr>
      <w:r>
        <w:t xml:space="preserve">Note on Jun '25: The abnormally low rate (6.3%) likely includes year-end adjustments or capitalization of interest, making it an outlier. The 23.8% in Mar '24 reflects the peak crisis period.</w:t>
      </w:r>
    </w:p>
    <w:p>
      <w:pPr>
        <w:pStyle w:val="Heading1"/>
        <w:spacing w:before="400" w:after="200"/>
      </w:pPr>
      <w:r>
        <w:t xml:space="preserve">6. Seasonality: The "Golden Window"</w:t>
      </w:r>
    </w:p>
    <w:p>
      <w:pPr>
        <w:spacing w:after="200"/>
      </w:pPr>
      <w:r>
        <w:t xml:space="preserve">(Source: Monthly return analysis of last 5 years)</w:t>
      </w:r>
    </w:p>
    <w:p>
      <w:pPr>
        <w:spacing w:after="200"/>
      </w:pPr>
      <w:r>
        <w:t xml:space="preserve">The data confirms a striking seasonal pattern. You are currently sitting in the statistically strongest window of the year.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Month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Avg Return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Probability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Strategy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October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+9.33%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Accumulation Phase (Completed)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November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+8.21%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Trend Continuation (Current)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December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+16.48%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Very 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Peak Euphoria / Take Profit Zone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January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-10.04%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High Risk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SELL / SHORT. Post-holiday hangover.</w:t>
            </w:r>
          </w:p>
        </w:tc>
      </w:tr>
    </w:tbl>
    <w:p>
      <w:pPr>
        <w:pStyle w:val="Heading1"/>
        <w:spacing w:before="400" w:after="200"/>
      </w:pPr>
      <w:r>
        <w:t xml:space="preserve">7. Final Investment Strategy</w:t>
      </w:r>
    </w:p>
    <w:p>
      <w:pPr>
        <w:spacing w:after="200"/>
      </w:pPr>
      <w:r>
        <w:t xml:space="preserve">Recommendation: BUY for a 2-month swing trade or 6-month hold.</w:t>
      </w:r>
    </w:p>
    <w:p>
      <w:pPr>
        <w:spacing w:after="400"/>
      </w:pPr>
      <w:r>
        <w:rPr>
          <w:b/>
          <w:bCs/>
        </w:rPr>
        <w:t xml:space="preserve">• Entry: </w:t>
      </w:r>
      <w:r>
        <w:t xml:space="preserve">PKR 168 - 173 (Current levels are attractive post-dip).
</w:t>
      </w:r>
      <w:r>
        <w:rPr>
          <w:b/>
          <w:bCs/>
        </w:rPr>
        <w:t xml:space="preserve">• Target 1: </w:t>
      </w:r>
      <w:r>
        <w:t xml:space="preserve">PKR 200 (Psychological resistance).
</w:t>
      </w:r>
      <w:r>
        <w:rPr>
          <w:b/>
          <w:bCs/>
        </w:rPr>
        <w:t xml:space="preserve">• Target 2: </w:t>
      </w:r>
      <w:r>
        <w:t xml:space="preserve">PKR 225 (Based on 15x Forward EPS of ~15 PKR).
</w:t>
      </w:r>
      <w:r>
        <w:rPr>
          <w:b/>
          <w:bCs/>
        </w:rPr>
        <w:t xml:space="preserve">• Stop Loss: </w:t>
      </w:r>
      <w:r>
        <w:t xml:space="preserve">PKR 155 (Weekly Close). This invalidates the trend.
</w:t>
      </w:r>
      <w:r>
        <w:rPr>
          <w:b/>
          <w:bCs/>
        </w:rPr>
        <w:t xml:space="preserve">• Time Limit: </w:t>
      </w:r>
      <w:r>
        <w:t xml:space="preserve">Re-evaluate position in late December to avoid the "January Curse."</w:t>
      </w:r>
    </w:p>
    <w:p>
      <w:pPr>
        <w:spacing w:after="400"/>
      </w:pPr>
      <w:r>
        <w:t xml:space="preserve">Thesis Summary: You are buying a company that just grew profits 88%, has a massive cost-saving catalyst (rate cuts) ahead, and is entering its historically strongest sales month (December). The risk/reward is heavily skewed to the upside.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unhk65jreco58yrmdhxt" Type="http://schemas.openxmlformats.org/officeDocument/2006/relationships/hyperlink" Target="https://www.airlinkcommunication.com/about-us" TargetMode="External"/><Relationship Id="rId_cl8-grfqdavrkidpkeoa" Type="http://schemas.openxmlformats.org/officeDocument/2006/relationships/hyperlink" Target="https://www.airlinkcommunication.com/manufacturing" TargetMode="External"/><Relationship Id="rIdv2du0veonnqvm91qo4jnz" Type="http://schemas.openxmlformats.org/officeDocument/2006/relationships/hyperlink" Target="https://www.sbp.org.pk/m_policy/index.asp" TargetMode="External"/><Relationship Id="rIdilhfaobk-nujb26o0hlop" Type="http://schemas.openxmlformats.org/officeDocument/2006/relationships/hyperlink" Target="https://www.pbs.gov.pk/cpi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2025-11-20T12:49:48.139Z</dcterms:created>
  <dcterms:modified xsi:type="dcterms:W3CDTF">2025-11-20T12:49:48.143Z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