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Air Link Communication (AIRLINK) – The Comprehensive Investment Report</w:t>
      </w:r>
    </w:p>
    <w:p>
      <w:pPr>
        <w:spacing w:after="400"/>
      </w:pPr>
      <w:r>
        <w:rPr>
          <w:b/>
          <w:bCs/>
        </w:rPr>
        <w:t xml:space="preserve">Date: </w:t>
      </w:r>
      <w:r>
        <w:t xml:space="preserve">November 20, 2025</w:t>
      </w:r>
      <w:r>
        <w:rPr>
          <w:b/>
          <w:bCs/>
        </w:rPr>
        <w:t xml:space="preserve">
Time Horizon: </w:t>
      </w:r>
      <w:r>
        <w:t xml:space="preserve">3-6 Months</w:t>
      </w:r>
      <w:r>
        <w:rPr>
          <w:b/>
          <w:bCs/>
        </w:rPr>
        <w:t xml:space="preserve">
Rating: </w:t>
      </w:r>
      <w:r>
        <w:rPr>
          <w:b/>
          <w:bCs/>
        </w:rPr>
        <w:t xml:space="preserve">STRONG BUY / AGGRESSIVE ACCUMULATION</w:t>
      </w:r>
      <w:r>
        <w:rPr>
          <w:b/>
          <w:bCs/>
        </w:rPr>
        <w:t xml:space="preserve">
Current Price: </w:t>
      </w:r>
      <w:r>
        <w:t xml:space="preserve">PKR 171.98</w:t>
      </w:r>
      <w:r>
        <w:rPr>
          <w:b/>
          <w:bCs/>
        </w:rPr>
        <w:t xml:space="preserve">
Target Price: </w:t>
      </w:r>
      <w:r>
        <w:t xml:space="preserve">PKR 220 - 235</w:t>
      </w:r>
      <w:r>
        <w:rPr>
          <w:b/>
          <w:bCs/>
        </w:rPr>
        <w:t xml:space="preserve">
Risk Profile: </w:t>
      </w:r>
      <w:r>
        <w:t xml:space="preserve">High (Beta &gt; 1.2)</w:t>
      </w:r>
    </w:p>
    <w:p>
      <w:pPr>
        <w:pStyle w:val="Heading1"/>
        <w:spacing w:before="400" w:after="200"/>
      </w:pPr>
      <w:r>
        <w:t xml:space="preserve">1. Investment Thesis &amp; Executive Summary</w:t>
      </w:r>
    </w:p>
    <w:p>
      <w:pPr>
        <w:spacing w:after="200"/>
      </w:pPr>
      <w:r>
        <w:t xml:space="preserve">AIRLINK is a high-growth technology play trading at a discount to its intrinsic value. The company is currently benefiting from a 'triple-tailwind':</w:t>
      </w:r>
    </w:p>
    <w:p>
      <w:pPr>
        <w:spacing w:after="400"/>
      </w:pPr>
      <w:r>
        <w:rPr>
          <w:b/>
          <w:bCs/>
        </w:rPr>
        <w:t xml:space="preserve">1. Monetary Easing: </w:t>
      </w:r>
      <w:r>
        <w:t xml:space="preserve">Falling interest rates are directly reducing finance costs, boosting net income.</w:t>
      </w:r>
      <w:r>
        <w:rPr>
          <w:b/>
          <w:bCs/>
        </w:rPr>
        <w:t xml:space="preserve">
2. Seasonal Strength: </w:t>
      </w:r>
      <w:r>
        <w:t xml:space="preserve">Entering Q2 (Oct-Dec), historically the strongest quarter for sales.</w:t>
      </w:r>
      <w:r>
        <w:rPr>
          <w:b/>
          <w:bCs/>
        </w:rPr>
        <w:t xml:space="preserve">
3. Operational Efficiency: </w:t>
      </w:r>
      <w:r>
        <w:t xml:space="preserve">Record margins in Q1 FY26 prove the business model is maturing.</w:t>
      </w:r>
    </w:p>
    <w:p>
      <w:pPr>
        <w:pStyle w:val="Heading1"/>
        <w:spacing w:before="400" w:after="200"/>
      </w:pPr>
      <w:r>
        <w:t xml:space="preserve">2. Business Model Breakdown</w:t>
      </w:r>
    </w:p>
    <w:p>
      <w:pPr>
        <w:pStyle w:val="Heading3"/>
        <w:spacing w:after="100"/>
      </w:pPr>
      <w:r>
        <w:t xml:space="preserve">A. Distribution Segment (The Cash Cow)</w:t>
      </w:r>
    </w:p>
    <w:p>
      <w:pPr>
        <w:spacing w:after="200"/>
      </w:pPr>
      <w:r>
        <w:rPr>
          <w:b/>
          <w:bCs/>
        </w:rPr>
        <w:t xml:space="preserve">• Partners: </w:t>
      </w:r>
      <w:r>
        <w:t xml:space="preserve">Official distributor for Samsung, Huawei, Xiaomi, Tecno, Itel, TCL, and authorized reseller for Apple.
</w:t>
      </w:r>
      <w:r>
        <w:rPr>
          <w:b/>
          <w:bCs/>
        </w:rPr>
        <w:t xml:space="preserve">• Revenue Contribution: </w:t>
      </w:r>
      <w:r>
        <w:t xml:space="preserve">~60-70% of total revenue.
</w:t>
      </w:r>
      <w:r>
        <w:rPr>
          <w:b/>
          <w:bCs/>
        </w:rPr>
        <w:t xml:space="preserve">• Source: </w:t>
      </w:r>
      <w:hyperlink w:history="1" r:id="rIdgrtb_9nesqd5eos2cutth">
        <w:r>
          <w:rPr>
            <w:rStyle w:val="Hyperlink"/>
          </w:rPr>
          <w:t xml:space="preserve">Air Link Official Company Profile</w:t>
        </w:r>
      </w:hyperlink>
    </w:p>
    <w:p>
      <w:pPr>
        <w:pStyle w:val="Heading3"/>
        <w:spacing w:after="100"/>
      </w:pPr>
      <w:r>
        <w:t xml:space="preserve">B. Manufacturing/Assembly (The Growth Engine)</w:t>
      </w:r>
    </w:p>
    <w:p>
      <w:pPr>
        <w:spacing w:after="400"/>
      </w:pPr>
      <w:r>
        <w:rPr>
          <w:b/>
          <w:bCs/>
        </w:rPr>
        <w:t xml:space="preserve">• Facility: </w:t>
      </w:r>
      <w:r>
        <w:t xml:space="preserve">State-of-the-art plant in Lahore (250,000 sq. ft) with capacity of ~12 million units/year.
</w:t>
      </w:r>
      <w:r>
        <w:rPr>
          <w:b/>
          <w:bCs/>
        </w:rPr>
        <w:t xml:space="preserve">• Key Contract: </w:t>
      </w:r>
      <w:r>
        <w:t xml:space="preserve">Assembling Xiaomi phones locally to avoid high import duties (CBU).
</w:t>
      </w:r>
      <w:r>
        <w:rPr>
          <w:b/>
          <w:bCs/>
        </w:rPr>
        <w:t xml:space="preserve">• Expansion: </w:t>
      </w:r>
      <w:r>
        <w:t xml:space="preserve">Producing 360,000 Google-Certified Smart TVs annually.
</w:t>
      </w:r>
      <w:r>
        <w:rPr>
          <w:b/>
          <w:bCs/>
        </w:rPr>
        <w:t xml:space="preserve">• Source: </w:t>
      </w:r>
      <w:hyperlink w:history="1" r:id="rIdbacse5acs6mqudrqnx4f5">
        <w:r>
          <w:rPr>
            <w:rStyle w:val="Hyperlink"/>
          </w:rPr>
          <w:t xml:space="preserve">Manufacturing Capabilities</w:t>
        </w:r>
      </w:hyperlink>
    </w:p>
    <w:p>
      <w:pPr>
        <w:pStyle w:val="Heading1"/>
        <w:spacing w:before="400" w:after="200"/>
      </w:pPr>
      <w:r>
        <w:t xml:space="preserve">3. Financial Health &amp; Projections</w:t>
      </w:r>
    </w:p>
    <w:p>
      <w:pPr>
        <w:pStyle w:val="Heading2"/>
        <w:spacing w:after="200"/>
      </w:pPr>
      <w:r>
        <w:t xml:space="preserve">Historic Earnings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Fiscal Year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Annual EPS (PKR)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Net Income (PKR Billion)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YoY Growth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FY2026 (Q1 Only)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1.58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N/A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12.01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4.75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+104%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11.70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4.63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+374%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2.50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0.96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-37%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4.30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1.65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-64%</w:t>
            </w:r>
          </w:p>
        </w:tc>
      </w:tr>
    </w:tbl>
    <w:p>
      <w:pPr>
        <w:spacing w:after="400"/>
      </w:pPr>
      <w:r>
        <w:rPr>
          <w:b/>
          <w:bCs/>
        </w:rPr>
        <w:t xml:space="preserve">Source: </w:t>
      </w:r>
      <w:hyperlink w:history="1" r:id="rIdeiuihmm6u1mufdwzpts6b">
        <w:r>
          <w:rPr>
            <w:rStyle w:val="Hyperlink"/>
          </w:rPr>
          <w:t xml:space="preserve">Air Link Investor Information</w:t>
        </w:r>
      </w:hyperlink>
    </w:p>
    <w:p>
      <w:pPr>
        <w:pStyle w:val="Heading2"/>
        <w:spacing w:after="200"/>
      </w:pPr>
      <w:r>
        <w:t xml:space="preserve">Debt Analysis: The Interest Rate Arbitrage</w:t>
      </w:r>
    </w:p>
    <w:p>
      <w:pPr>
        <w:spacing w:after="400"/>
      </w:pPr>
      <w:r>
        <w:rPr>
          <w:b/>
          <w:bCs/>
        </w:rPr>
        <w:t xml:space="preserve">Total Debt: </w:t>
      </w:r>
      <w:r>
        <w:t xml:space="preserve">PKR 27.82 Billion (as of Sep 30, 2025).
</w:t>
      </w:r>
      <w:r>
        <w:rPr>
          <w:b/>
          <w:bCs/>
        </w:rPr>
        <w:t xml:space="preserve">Source: </w:t>
      </w:r>
      <w:hyperlink w:history="1" r:id="rIdin3y1xr0earau8t4cs3yv">
        <w:r>
          <w:rPr>
            <w:rStyle w:val="Hyperlink"/>
          </w:rPr>
          <w:t xml:space="preserve">Q1 FY26 Financial Statements</w:t>
        </w:r>
      </w:hyperlink>
      <w:r>
        <w:rPr>
          <w:b/>
          <w:bCs/>
        </w:rPr>
        <w:t xml:space="preserve">
The Opportunity: </w:t>
      </w:r>
      <w:r>
        <w:t xml:space="preserve">In early 2024, AIRLINK paid ~24% interest. With SBP rates falling to 11-13%, finance costs are dropping sharply, boosting EPS.</w:t>
      </w:r>
    </w:p>
    <w:p>
      <w:pPr>
        <w:pStyle w:val="Heading1"/>
        <w:spacing w:before="400" w:after="200"/>
      </w:pPr>
      <w:r>
        <w:t xml:space="preserve">4. Seasonality Analysis: The 'Golden Window'</w:t>
      </w:r>
    </w:p>
    <w:p>
      <w:pPr>
        <w:spacing w:after="200"/>
      </w:pPr>
      <w:r>
        <w:t xml:space="preserve">Historical data (last 5 years) confirms Q4 (Oct-Dec) is the optimal holding period.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Month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Avg Return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Recommendation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October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+9.33%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BUY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November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+8.21%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HOLD / ACCUMULATE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December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+16.48%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TAKE PROFIT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January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-10.04%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SELL / AVOID</w:t>
            </w:r>
          </w:p>
        </w:tc>
      </w:tr>
    </w:tbl>
    <w:p>
      <w:pPr>
        <w:pStyle w:val="Heading1"/>
        <w:spacing w:before="400" w:after="200"/>
      </w:pPr>
      <w:r>
        <w:t xml:space="preserve">5. Macro Outlook &amp; Verification</w:t>
      </w:r>
    </w:p>
    <w:p>
      <w:pPr>
        <w:spacing w:after="400"/>
      </w:pPr>
      <w:r>
        <w:rPr>
          <w:b/>
          <w:bCs/>
        </w:rPr>
        <w:t xml:space="preserve">1. Monetary Easing: </w:t>
      </w:r>
      <w:r>
        <w:t xml:space="preserve">SBP cuts from 22% to 11-13% are confirmed.
</w:t>
      </w:r>
      <w:r>
        <w:rPr>
          <w:i/>
          <w:iCs/>
        </w:rPr>
        <w:t xml:space="preserve">   Source: </w:t>
      </w:r>
      <w:hyperlink w:history="1" r:id="rIdrf0_8zpvrwaxu7z_4acbx">
        <w:r>
          <w:rPr>
            <w:rStyle w:val="Hyperlink"/>
          </w:rPr>
          <w:t xml:space="preserve">SBP Monetary Policy (Latest)</w:t>
        </w:r>
      </w:hyperlink>
      <w:r>
        <w:t xml:space="preserve">
</w:t>
      </w:r>
      <w:r>
        <w:rPr>
          <w:b/>
          <w:bCs/>
        </w:rPr>
        <w:t xml:space="preserve">2. Inflation Trends: </w:t>
      </w:r>
      <w:r>
        <w:t xml:space="preserve">Inflation dropped to 3.2% in mid-2025 before stabilizing at 5.6%.
</w:t>
      </w:r>
      <w:r>
        <w:rPr>
          <w:i/>
          <w:iCs/>
        </w:rPr>
        <w:t xml:space="preserve">   Source: </w:t>
      </w:r>
      <w:hyperlink w:history="1" r:id="rIdm_aqz3kmig-zxmslb8nll">
        <w:r>
          <w:rPr>
            <w:rStyle w:val="Hyperlink"/>
          </w:rPr>
          <w:t xml:space="preserve">PBS Inflation Reports</w:t>
        </w:r>
      </w:hyperlink>
    </w:p>
    <w:p>
      <w:pPr>
        <w:pStyle w:val="Heading1"/>
        <w:spacing w:before="400" w:after="200"/>
      </w:pPr>
      <w:r>
        <w:t xml:space="preserve">6. Key Risks to Watch</w:t>
      </w:r>
    </w:p>
    <w:p>
      <w:pPr>
        <w:spacing w:after="400"/>
      </w:pPr>
      <w:r>
        <w:rPr>
          <w:b/>
          <w:bCs/>
        </w:rPr>
        <w:t xml:space="preserve">1. Import Ban Risk: </w:t>
      </w:r>
      <w:r>
        <w:t xml:space="preserve">If forex reserves dip, phones are the first to be restricted. This crushed revenue in 2023.
</w:t>
      </w:r>
      <w:r>
        <w:rPr>
          <w:b/>
          <w:bCs/>
        </w:rPr>
        <w:t xml:space="preserve">2. Exchange Rate: </w:t>
      </w:r>
      <w:r>
        <w:t xml:space="preserve">PKR depreciation hurts margins. Stability around 278/USD is critical.</w:t>
      </w:r>
    </w:p>
    <w:p>
      <w:pPr>
        <w:pStyle w:val="Heading1"/>
        <w:spacing w:before="400" w:after="200"/>
      </w:pPr>
      <w:r>
        <w:t xml:space="preserve">7. Final Investment Strategy</w:t>
      </w:r>
    </w:p>
    <w:p>
      <w:pPr>
        <w:spacing w:after="400"/>
      </w:pPr>
      <w:r>
        <w:rPr>
          <w:b/>
          <w:bCs/>
        </w:rPr>
        <w:t xml:space="preserve">Recommendation: </w:t>
      </w:r>
      <w:r>
        <w:t xml:space="preserve">BUY
</w:t>
      </w:r>
      <w:r>
        <w:rPr>
          <w:b/>
          <w:bCs/>
        </w:rPr>
        <w:t xml:space="preserve">Entry Zone: </w:t>
      </w:r>
      <w:r>
        <w:t xml:space="preserve">PKR 168 - 173
</w:t>
      </w:r>
      <w:r>
        <w:rPr>
          <w:b/>
          <w:bCs/>
        </w:rPr>
        <w:t xml:space="preserve">Target Price: </w:t>
      </w:r>
      <w:r>
        <w:t xml:space="preserve">PKR 220 - 235
</w:t>
      </w:r>
      <w:r>
        <w:rPr>
          <w:b/>
          <w:bCs/>
        </w:rPr>
        <w:t xml:space="preserve">Stop Loss: </w:t>
      </w:r>
      <w:r>
        <w:t xml:space="preserve">Closing below PKR 155
</w:t>
      </w:r>
      <w:r>
        <w:rPr>
          <w:b/>
          <w:bCs/>
        </w:rPr>
        <w:t xml:space="preserve">Timeframe: </w:t>
      </w:r>
      <w:r>
        <w:t xml:space="preserve">Hold until late December 2025.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rtb_9nesqd5eos2cutth" Type="http://schemas.openxmlformats.org/officeDocument/2006/relationships/hyperlink" Target="https://www.airlinkcommunication.com/company-profile/" TargetMode="External"/><Relationship Id="rIdbacse5acs6mqudrqnx4f5" Type="http://schemas.openxmlformats.org/officeDocument/2006/relationships/hyperlink" Target="https://www.airlinkcommunication.com/company-profile/" TargetMode="External"/><Relationship Id="rIdeiuihmm6u1mufdwzpts6b" Type="http://schemas.openxmlformats.org/officeDocument/2006/relationships/hyperlink" Target="https://www.airlinkcommunication.com/investor-information/" TargetMode="External"/><Relationship Id="rIdin3y1xr0earau8t4cs3yv" Type="http://schemas.openxmlformats.org/officeDocument/2006/relationships/hyperlink" Target="https://www.airlinkcommunication.com/investor-information/" TargetMode="External"/><Relationship Id="rIdrf0_8zpvrwaxu7z_4acbx" Type="http://schemas.openxmlformats.org/officeDocument/2006/relationships/hyperlink" Target="https://www.sbp.org.pk/m_policy/index.asp" TargetMode="External"/><Relationship Id="rIdm_aqz3kmig-zxmslb8nll" Type="http://schemas.openxmlformats.org/officeDocument/2006/relationships/hyperlink" Target="https://www.pbs.gov.pk/cpi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2025-11-20T19:18:11.934Z</dcterms:created>
  <dcterms:modified xsi:type="dcterms:W3CDTF">2025-11-20T19:18:11.938Z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