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1C8F55" w14:textId="34306E80" w:rsidR="00CB582D" w:rsidRPr="0003718B" w:rsidRDefault="00CB582D" w:rsidP="0003718B">
      <w:pPr>
        <w:rPr>
          <w:b/>
          <w:bCs/>
          <w:i/>
          <w:iCs/>
          <w:color w:val="C00000"/>
          <w:sz w:val="28"/>
          <w:szCs w:val="28"/>
          <w:u w:val="single"/>
        </w:rPr>
      </w:pPr>
      <w:proofErr w:type="spellStart"/>
      <w:r w:rsidRPr="0003718B">
        <w:rPr>
          <w:b/>
          <w:bCs/>
          <w:i/>
          <w:iCs/>
          <w:color w:val="C00000"/>
          <w:sz w:val="28"/>
          <w:szCs w:val="28"/>
          <w:u w:val="single"/>
        </w:rPr>
        <w:t>Kayumars</w:t>
      </w:r>
      <w:proofErr w:type="spellEnd"/>
      <w:r w:rsidRPr="0003718B">
        <w:rPr>
          <w:b/>
          <w:bCs/>
          <w:i/>
          <w:iCs/>
          <w:color w:val="C00000"/>
          <w:sz w:val="28"/>
          <w:szCs w:val="28"/>
          <w:u w:val="single"/>
        </w:rPr>
        <w:t>: The First King in Iranian Myth and His Reflection in the Royal Ideologies of Mesopotamia and Egypt</w:t>
      </w:r>
    </w:p>
    <w:p w14:paraId="37B38320" w14:textId="77777777" w:rsidR="00CB582D" w:rsidRDefault="00CB582D" w:rsidP="00CB582D">
      <w:r>
        <w:t>---</w:t>
      </w:r>
    </w:p>
    <w:p w14:paraId="7CBA34E5" w14:textId="304634F1" w:rsidR="00CB582D" w:rsidRDefault="000C5334" w:rsidP="00CB582D">
      <w:r>
        <w:rPr>
          <w:noProof/>
        </w:rPr>
        <w:drawing>
          <wp:anchor distT="0" distB="0" distL="114300" distR="114300" simplePos="0" relativeHeight="251659264" behindDoc="0" locked="0" layoutInCell="1" allowOverlap="1" wp14:anchorId="490A1EC3" wp14:editId="759AD468">
            <wp:simplePos x="0" y="0"/>
            <wp:positionH relativeFrom="column">
              <wp:posOffset>-135255</wp:posOffset>
            </wp:positionH>
            <wp:positionV relativeFrom="paragraph">
              <wp:posOffset>273050</wp:posOffset>
            </wp:positionV>
            <wp:extent cx="6057265" cy="6686550"/>
            <wp:effectExtent l="0" t="0" r="63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6057265" cy="6686550"/>
                    </a:xfrm>
                    <a:prstGeom prst="rect">
                      <a:avLst/>
                    </a:prstGeom>
                  </pic:spPr>
                </pic:pic>
              </a:graphicData>
            </a:graphic>
            <wp14:sizeRelH relativeFrom="margin">
              <wp14:pctWidth>0</wp14:pctWidth>
            </wp14:sizeRelH>
            <wp14:sizeRelV relativeFrom="margin">
              <wp14:pctHeight>0</wp14:pctHeight>
            </wp14:sizeRelV>
          </wp:anchor>
        </w:drawing>
      </w:r>
    </w:p>
    <w:p w14:paraId="0E8C1FF8" w14:textId="3BC4CD7D" w:rsidR="00CB582D" w:rsidRDefault="00CB582D" w:rsidP="00CB582D">
      <w:r>
        <w:t>Abstract</w:t>
      </w:r>
    </w:p>
    <w:p w14:paraId="30B31A6D" w14:textId="77777777" w:rsidR="00CB582D" w:rsidRDefault="00CB582D" w:rsidP="00CB582D"/>
    <w:p w14:paraId="62099D50" w14:textId="77777777" w:rsidR="00CB582D" w:rsidRDefault="00CB582D" w:rsidP="00CB582D">
      <w:r>
        <w:t xml:space="preserve">This paper examines </w:t>
      </w:r>
      <w:proofErr w:type="spellStart"/>
      <w:r>
        <w:t>Kayumars</w:t>
      </w:r>
      <w:proofErr w:type="spellEnd"/>
      <w:r>
        <w:t xml:space="preserve"> (</w:t>
      </w:r>
      <w:proofErr w:type="spellStart"/>
      <w:r>
        <w:t>Avestan</w:t>
      </w:r>
      <w:proofErr w:type="spellEnd"/>
      <w:r>
        <w:t xml:space="preserve">: </w:t>
      </w:r>
      <w:proofErr w:type="spellStart"/>
      <w:r>
        <w:t>Gayō</w:t>
      </w:r>
      <w:proofErr w:type="spellEnd"/>
      <w:r>
        <w:t xml:space="preserve"> </w:t>
      </w:r>
      <w:proofErr w:type="spellStart"/>
      <w:r>
        <w:t>Marətan</w:t>
      </w:r>
      <w:proofErr w:type="spellEnd"/>
      <w:r>
        <w:t xml:space="preserve">), the primordial figure who appears as the first human in Zoroastrian cosmology and the first king in Ferdowsi’s </w:t>
      </w:r>
      <w:proofErr w:type="spellStart"/>
      <w:r>
        <w:t>Shahnameh</w:t>
      </w:r>
      <w:proofErr w:type="spellEnd"/>
      <w:r>
        <w:t xml:space="preserve">. It traces his origins in the </w:t>
      </w:r>
      <w:proofErr w:type="spellStart"/>
      <w:r>
        <w:t>Avesta</w:t>
      </w:r>
      <w:proofErr w:type="spellEnd"/>
      <w:r>
        <w:t xml:space="preserve">, his development in Middle Persian literature, and his full portrayal in the Persian epic. The paper then situates </w:t>
      </w:r>
      <w:proofErr w:type="spellStart"/>
      <w:r>
        <w:t>Kayumars</w:t>
      </w:r>
      <w:proofErr w:type="spellEnd"/>
      <w:r>
        <w:t xml:space="preserve"> within a comparative framework, </w:t>
      </w:r>
      <w:proofErr w:type="spellStart"/>
      <w:r>
        <w:t>analysing</w:t>
      </w:r>
      <w:proofErr w:type="spellEnd"/>
      <w:r>
        <w:t xml:space="preserve"> the divergent royal ideologies of ancient Mesopotamia and Egypt—where kingship was understood as a human office mediating with the gods, versus a divine institution where the pharaoh was himself a god. The paper explores the geographical anchoring of </w:t>
      </w:r>
      <w:proofErr w:type="spellStart"/>
      <w:r>
        <w:t>Kayumars’s</w:t>
      </w:r>
      <w:proofErr w:type="spellEnd"/>
      <w:r>
        <w:t xml:space="preserve"> kingdom in </w:t>
      </w:r>
      <w:proofErr w:type="spellStart"/>
      <w:r>
        <w:t>Airyanem</w:t>
      </w:r>
      <w:proofErr w:type="spellEnd"/>
      <w:r>
        <w:t xml:space="preserve"> </w:t>
      </w:r>
      <w:proofErr w:type="spellStart"/>
      <w:r>
        <w:t>Vaejah</w:t>
      </w:r>
      <w:proofErr w:type="spellEnd"/>
      <w:r>
        <w:t xml:space="preserve">, the </w:t>
      </w:r>
      <w:proofErr w:type="spellStart"/>
      <w:r>
        <w:t>Avestan</w:t>
      </w:r>
      <w:proofErr w:type="spellEnd"/>
      <w:r>
        <w:t xml:space="preserve"> homeland of the Aryans, which modern scholarship locates in the central highlands of Afghanistan—the region historically inhabited by the </w:t>
      </w:r>
      <w:proofErr w:type="spellStart"/>
      <w:r>
        <w:t>Āzrah</w:t>
      </w:r>
      <w:proofErr w:type="spellEnd"/>
      <w:r>
        <w:t xml:space="preserve"> (</w:t>
      </w:r>
      <w:proofErr w:type="spellStart"/>
      <w:r>
        <w:t>Hazara</w:t>
      </w:r>
      <w:proofErr w:type="spellEnd"/>
      <w:r>
        <w:t xml:space="preserve">) people. It further identifies the Band-e Amir lakes as the physical manifestation of the sacred </w:t>
      </w:r>
      <w:proofErr w:type="spellStart"/>
      <w:r>
        <w:t>Avestan</w:t>
      </w:r>
      <w:proofErr w:type="spellEnd"/>
      <w:r>
        <w:t xml:space="preserve"> river </w:t>
      </w:r>
      <w:proofErr w:type="spellStart"/>
      <w:r>
        <w:t>Vaŋhvī</w:t>
      </w:r>
      <w:proofErr w:type="spellEnd"/>
      <w:r>
        <w:t xml:space="preserve"> </w:t>
      </w:r>
      <w:proofErr w:type="spellStart"/>
      <w:r>
        <w:t>Dāityā</w:t>
      </w:r>
      <w:proofErr w:type="spellEnd"/>
      <w:r>
        <w:t xml:space="preserve"> (Good </w:t>
      </w:r>
      <w:proofErr w:type="spellStart"/>
      <w:r>
        <w:t>Daitya</w:t>
      </w:r>
      <w:proofErr w:type="spellEnd"/>
      <w:r>
        <w:t xml:space="preserve">), whose name was changed during the Arab conquests, and demonstrates that the </w:t>
      </w:r>
      <w:proofErr w:type="spellStart"/>
      <w:r>
        <w:t>Āzrah</w:t>
      </w:r>
      <w:proofErr w:type="spellEnd"/>
      <w:r>
        <w:t xml:space="preserve"> are the inheritors of a pre-R1a-Z93 Neolithic Iranian substrate (J2a1-Page55 and G2) that predates the steppe migrations.</w:t>
      </w:r>
    </w:p>
    <w:p w14:paraId="25E4FE79" w14:textId="77777777" w:rsidR="00CB582D" w:rsidRDefault="00CB582D" w:rsidP="00CB582D"/>
    <w:p w14:paraId="5D033DD3" w14:textId="77777777" w:rsidR="00CB582D" w:rsidRDefault="00CB582D" w:rsidP="00CB582D">
      <w:r>
        <w:t>---</w:t>
      </w:r>
    </w:p>
    <w:p w14:paraId="6067A7A2" w14:textId="77777777" w:rsidR="00CB582D" w:rsidRDefault="00CB582D" w:rsidP="00CB582D"/>
    <w:p w14:paraId="0396E5D8" w14:textId="77777777" w:rsidR="00CB582D" w:rsidRDefault="00CB582D" w:rsidP="00CB582D">
      <w:r>
        <w:t>1. Introduction: The Primordial King</w:t>
      </w:r>
    </w:p>
    <w:p w14:paraId="4EFC49D6" w14:textId="77777777" w:rsidR="00CB582D" w:rsidRDefault="00CB582D" w:rsidP="00CB582D"/>
    <w:p w14:paraId="3FA983B0" w14:textId="77777777" w:rsidR="00CB582D" w:rsidRDefault="00CB582D" w:rsidP="00CB582D">
      <w:r>
        <w:t xml:space="preserve">The figure of the first king appears in the earliest strata of Iranian literature. In the </w:t>
      </w:r>
      <w:proofErr w:type="spellStart"/>
      <w:r>
        <w:t>Avesta</w:t>
      </w:r>
      <w:proofErr w:type="spellEnd"/>
      <w:r>
        <w:t xml:space="preserve">, </w:t>
      </w:r>
      <w:proofErr w:type="spellStart"/>
      <w:r>
        <w:t>Gayō</w:t>
      </w:r>
      <w:proofErr w:type="spellEnd"/>
      <w:r>
        <w:t xml:space="preserve"> </w:t>
      </w:r>
      <w:proofErr w:type="spellStart"/>
      <w:r>
        <w:t>Marətan</w:t>
      </w:r>
      <w:proofErr w:type="spellEnd"/>
      <w:r>
        <w:t xml:space="preserve"> (“the living mortal”) is the first human being, created by </w:t>
      </w:r>
      <w:proofErr w:type="spellStart"/>
      <w:r>
        <w:t>Ahura</w:t>
      </w:r>
      <w:proofErr w:type="spellEnd"/>
      <w:r>
        <w:t xml:space="preserve"> Mazda to assist in the cosmic struggle against the forces of evil. In later Zoroastrian texts and in Ferdowsi’s </w:t>
      </w:r>
      <w:proofErr w:type="spellStart"/>
      <w:r>
        <w:t>Shahnameh</w:t>
      </w:r>
      <w:proofErr w:type="spellEnd"/>
      <w:r>
        <w:t xml:space="preserve"> (11th century CE), this same figure—now known as </w:t>
      </w:r>
      <w:proofErr w:type="spellStart"/>
      <w:r>
        <w:t>Kayumars</w:t>
      </w:r>
      <w:proofErr w:type="spellEnd"/>
      <w:r>
        <w:t xml:space="preserve">—is transformed into the first king of the world, the founder of the </w:t>
      </w:r>
      <w:proofErr w:type="spellStart"/>
      <w:r>
        <w:t>Pishdadian</w:t>
      </w:r>
      <w:proofErr w:type="spellEnd"/>
      <w:r>
        <w:t xml:space="preserve"> dynasty, and the first lawgiver (</w:t>
      </w:r>
      <w:proofErr w:type="spellStart"/>
      <w:r>
        <w:t>pishdād</w:t>
      </w:r>
      <w:proofErr w:type="spellEnd"/>
      <w:r>
        <w:t>).</w:t>
      </w:r>
    </w:p>
    <w:p w14:paraId="652DD4D2" w14:textId="77777777" w:rsidR="00CB582D" w:rsidRDefault="00CB582D" w:rsidP="00CB582D"/>
    <w:p w14:paraId="2A4A6CFC" w14:textId="77777777" w:rsidR="00CB582D" w:rsidRDefault="00CB582D" w:rsidP="00CB582D">
      <w:r>
        <w:t xml:space="preserve">The story of </w:t>
      </w:r>
      <w:proofErr w:type="spellStart"/>
      <w:r>
        <w:t>Kayumars</w:t>
      </w:r>
      <w:proofErr w:type="spellEnd"/>
      <w:r>
        <w:t xml:space="preserve"> is not merely a myth of origins; it is a foundational statement about Iranian political theology. The king, in this tradition, is the mediator between the divine order (</w:t>
      </w:r>
      <w:proofErr w:type="spellStart"/>
      <w:r>
        <w:t>asha</w:t>
      </w:r>
      <w:proofErr w:type="spellEnd"/>
      <w:r>
        <w:t xml:space="preserve">) and human society, a theme that resonates with—but also diverges from—the royal ideologies of the </w:t>
      </w:r>
      <w:proofErr w:type="spellStart"/>
      <w:r>
        <w:t>neighbouring</w:t>
      </w:r>
      <w:proofErr w:type="spellEnd"/>
      <w:r>
        <w:t xml:space="preserve"> </w:t>
      </w:r>
      <w:proofErr w:type="spellStart"/>
      <w:r>
        <w:t>civilisations</w:t>
      </w:r>
      <w:proofErr w:type="spellEnd"/>
      <w:r>
        <w:t xml:space="preserve"> of Mesopotamia and Egypt.</w:t>
      </w:r>
    </w:p>
    <w:p w14:paraId="0443BA38" w14:textId="77777777" w:rsidR="00CB582D" w:rsidRDefault="00CB582D" w:rsidP="00CB582D"/>
    <w:p w14:paraId="354BB270" w14:textId="77777777" w:rsidR="00CB582D" w:rsidRDefault="00CB582D" w:rsidP="00CB582D">
      <w:r>
        <w:t>---</w:t>
      </w:r>
    </w:p>
    <w:p w14:paraId="34094017" w14:textId="77777777" w:rsidR="00CB582D" w:rsidRDefault="00CB582D" w:rsidP="00CB582D"/>
    <w:p w14:paraId="61EC7E2E" w14:textId="77777777" w:rsidR="00CB582D" w:rsidRDefault="00CB582D" w:rsidP="00CB582D">
      <w:r>
        <w:t xml:space="preserve">2. </w:t>
      </w:r>
      <w:proofErr w:type="spellStart"/>
      <w:r>
        <w:t>Kayumars</w:t>
      </w:r>
      <w:proofErr w:type="spellEnd"/>
      <w:r>
        <w:t xml:space="preserve"> in the </w:t>
      </w:r>
      <w:proofErr w:type="spellStart"/>
      <w:r>
        <w:t>Avesta</w:t>
      </w:r>
      <w:proofErr w:type="spellEnd"/>
      <w:r>
        <w:t xml:space="preserve"> and </w:t>
      </w:r>
      <w:proofErr w:type="spellStart"/>
      <w:r>
        <w:t>Shahnameh</w:t>
      </w:r>
      <w:proofErr w:type="spellEnd"/>
    </w:p>
    <w:p w14:paraId="48B1A405" w14:textId="77777777" w:rsidR="00CB582D" w:rsidRDefault="00CB582D" w:rsidP="00CB582D"/>
    <w:p w14:paraId="61EE3093" w14:textId="77777777" w:rsidR="00CB582D" w:rsidRDefault="00CB582D" w:rsidP="00CB582D">
      <w:r>
        <w:t xml:space="preserve">2.1 The </w:t>
      </w:r>
      <w:proofErr w:type="spellStart"/>
      <w:r>
        <w:t>Avestan</w:t>
      </w:r>
      <w:proofErr w:type="spellEnd"/>
      <w:r>
        <w:t xml:space="preserve"> Protoplast</w:t>
      </w:r>
    </w:p>
    <w:p w14:paraId="09CA72AA" w14:textId="77777777" w:rsidR="00CB582D" w:rsidRDefault="00CB582D" w:rsidP="00CB582D"/>
    <w:p w14:paraId="369D8F84" w14:textId="77777777" w:rsidR="00CB582D" w:rsidRDefault="00CB582D" w:rsidP="00CB582D">
      <w:r>
        <w:lastRenderedPageBreak/>
        <w:t xml:space="preserve">In the </w:t>
      </w:r>
      <w:proofErr w:type="spellStart"/>
      <w:r>
        <w:t>Avesta</w:t>
      </w:r>
      <w:proofErr w:type="spellEnd"/>
      <w:r>
        <w:t xml:space="preserve">, </w:t>
      </w:r>
      <w:proofErr w:type="spellStart"/>
      <w:r>
        <w:t>Gayō</w:t>
      </w:r>
      <w:proofErr w:type="spellEnd"/>
      <w:r>
        <w:t xml:space="preserve"> </w:t>
      </w:r>
      <w:proofErr w:type="spellStart"/>
      <w:r>
        <w:t>Marətan</w:t>
      </w:r>
      <w:proofErr w:type="spellEnd"/>
      <w:r>
        <w:t xml:space="preserve"> is not a king but the first human being. According to the </w:t>
      </w:r>
      <w:proofErr w:type="spellStart"/>
      <w:r>
        <w:t>Bundahišn</w:t>
      </w:r>
      <w:proofErr w:type="spellEnd"/>
      <w:r>
        <w:t xml:space="preserve">, the Zoroastrian book of creation, he was created by </w:t>
      </w:r>
      <w:proofErr w:type="spellStart"/>
      <w:r>
        <w:t>Ahura</w:t>
      </w:r>
      <w:proofErr w:type="spellEnd"/>
      <w:r>
        <w:t xml:space="preserve"> Mazda in </w:t>
      </w:r>
      <w:proofErr w:type="spellStart"/>
      <w:r>
        <w:t>Airyanem</w:t>
      </w:r>
      <w:proofErr w:type="spellEnd"/>
      <w:r>
        <w:t xml:space="preserve"> </w:t>
      </w:r>
      <w:proofErr w:type="spellStart"/>
      <w:r>
        <w:t>Vaejah</w:t>
      </w:r>
      <w:proofErr w:type="spellEnd"/>
      <w:r>
        <w:t xml:space="preserve"> (the Aryan expanse), on the left bank of the river </w:t>
      </w:r>
      <w:proofErr w:type="spellStart"/>
      <w:r>
        <w:t>Vaŋhvī</w:t>
      </w:r>
      <w:proofErr w:type="spellEnd"/>
      <w:r>
        <w:t xml:space="preserve"> </w:t>
      </w:r>
      <w:proofErr w:type="spellStart"/>
      <w:r>
        <w:t>Dāityā</w:t>
      </w:r>
      <w:proofErr w:type="spellEnd"/>
      <w:r>
        <w:t xml:space="preserve"> (Good </w:t>
      </w:r>
      <w:proofErr w:type="spellStart"/>
      <w:r>
        <w:t>Daitya</w:t>
      </w:r>
      <w:proofErr w:type="spellEnd"/>
      <w:r>
        <w:t xml:space="preserve">). He was fashioned from earth, and his sperm was formed from the light of the sky. He measured four reeds in height and breadth, and he was round and shining as the sun. His purpose was to assist </w:t>
      </w:r>
      <w:proofErr w:type="spellStart"/>
      <w:r>
        <w:t>Ohrmazd</w:t>
      </w:r>
      <w:proofErr w:type="spellEnd"/>
      <w:r>
        <w:t xml:space="preserve"> (</w:t>
      </w:r>
      <w:proofErr w:type="spellStart"/>
      <w:r>
        <w:t>Ahura</w:t>
      </w:r>
      <w:proofErr w:type="spellEnd"/>
      <w:r>
        <w:t xml:space="preserve"> Mazda) in the battle against the Evil Spirit (Ahriman). The </w:t>
      </w:r>
      <w:proofErr w:type="spellStart"/>
      <w:r>
        <w:t>Avestan</w:t>
      </w:r>
      <w:proofErr w:type="spellEnd"/>
      <w:r>
        <w:t xml:space="preserve"> name </w:t>
      </w:r>
      <w:proofErr w:type="spellStart"/>
      <w:r>
        <w:t>Gayō</w:t>
      </w:r>
      <w:proofErr w:type="spellEnd"/>
      <w:r>
        <w:t xml:space="preserve"> </w:t>
      </w:r>
      <w:proofErr w:type="spellStart"/>
      <w:r>
        <w:t>Marətan</w:t>
      </w:r>
      <w:proofErr w:type="spellEnd"/>
      <w:r>
        <w:t xml:space="preserve"> means “the living mortal,” from </w:t>
      </w:r>
      <w:proofErr w:type="spellStart"/>
      <w:r>
        <w:t>gaya</w:t>
      </w:r>
      <w:proofErr w:type="spellEnd"/>
      <w:r>
        <w:t xml:space="preserve"> (‘life’) and </w:t>
      </w:r>
      <w:proofErr w:type="spellStart"/>
      <w:r>
        <w:t>marətan</w:t>
      </w:r>
      <w:proofErr w:type="spellEnd"/>
      <w:r>
        <w:t xml:space="preserve"> (‘mortal, human being’).</w:t>
      </w:r>
    </w:p>
    <w:p w14:paraId="559797CA" w14:textId="77777777" w:rsidR="00CB582D" w:rsidRDefault="00CB582D" w:rsidP="00CB582D"/>
    <w:p w14:paraId="33A6FC3F" w14:textId="77777777" w:rsidR="00CB582D" w:rsidRDefault="00CB582D" w:rsidP="00CB582D">
      <w:r>
        <w:t xml:space="preserve">2.2 The First King in the </w:t>
      </w:r>
      <w:proofErr w:type="spellStart"/>
      <w:r>
        <w:t>Shahnameh</w:t>
      </w:r>
      <w:proofErr w:type="spellEnd"/>
    </w:p>
    <w:p w14:paraId="2827CAE4" w14:textId="77777777" w:rsidR="00CB582D" w:rsidRDefault="00CB582D" w:rsidP="00CB582D"/>
    <w:p w14:paraId="199F43AE" w14:textId="77777777" w:rsidR="00CB582D" w:rsidRDefault="00CB582D" w:rsidP="00CB582D">
      <w:r>
        <w:t xml:space="preserve">In Ferdowsi’s </w:t>
      </w:r>
      <w:proofErr w:type="spellStart"/>
      <w:r>
        <w:t>Shahnameh</w:t>
      </w:r>
      <w:proofErr w:type="spellEnd"/>
      <w:r>
        <w:t xml:space="preserve">, </w:t>
      </w:r>
      <w:proofErr w:type="spellStart"/>
      <w:r>
        <w:t>Kayumars</w:t>
      </w:r>
      <w:proofErr w:type="spellEnd"/>
      <w:r>
        <w:t xml:space="preserve"> appears as the first king (shah) of the world. He is the founder of the </w:t>
      </w:r>
      <w:proofErr w:type="spellStart"/>
      <w:r>
        <w:t>Pishdadian</w:t>
      </w:r>
      <w:proofErr w:type="spellEnd"/>
      <w:r>
        <w:t xml:space="preserve"> dynasty, the first of the legendary dynasties of Iran. He is also called </w:t>
      </w:r>
      <w:proofErr w:type="spellStart"/>
      <w:r>
        <w:t>pishdād</w:t>
      </w:r>
      <w:proofErr w:type="spellEnd"/>
      <w:r>
        <w:t xml:space="preserve">, meaning “the first to practice justice,” the lawgiver. According to the epic, </w:t>
      </w:r>
      <w:proofErr w:type="spellStart"/>
      <w:r>
        <w:t>Kayumars</w:t>
      </w:r>
      <w:proofErr w:type="spellEnd"/>
      <w:r>
        <w:t xml:space="preserve"> initially lived in the mountains, wore the skins of leopards, and established the ceremonies associated with the crown and throne. His reign represents the beginning of </w:t>
      </w:r>
      <w:proofErr w:type="spellStart"/>
      <w:r>
        <w:t>civilisation</w:t>
      </w:r>
      <w:proofErr w:type="spellEnd"/>
      <w:r>
        <w:t>, law, and ordered society. His death, at the hands of the demons (</w:t>
      </w:r>
      <w:proofErr w:type="spellStart"/>
      <w:r>
        <w:t>divs</w:t>
      </w:r>
      <w:proofErr w:type="spellEnd"/>
      <w:r>
        <w:t>) sent by Ahriman, marks the transition to the next phase of cosmic history.</w:t>
      </w:r>
    </w:p>
    <w:p w14:paraId="0DF41C31" w14:textId="77777777" w:rsidR="00CB582D" w:rsidRDefault="00CB582D" w:rsidP="00CB582D"/>
    <w:p w14:paraId="68EA3D32" w14:textId="77777777" w:rsidR="00CB582D" w:rsidRDefault="00CB582D" w:rsidP="00CB582D">
      <w:r>
        <w:t>---</w:t>
      </w:r>
    </w:p>
    <w:p w14:paraId="7D3A863F" w14:textId="77777777" w:rsidR="00CB582D" w:rsidRDefault="00CB582D" w:rsidP="00CB582D"/>
    <w:p w14:paraId="493D0BFB" w14:textId="77777777" w:rsidR="00CB582D" w:rsidRDefault="00CB582D" w:rsidP="00CB582D">
      <w:r>
        <w:t>3. Comparative Royal Ideologies: Iran, Mesopotamia, and Egypt</w:t>
      </w:r>
    </w:p>
    <w:p w14:paraId="46018801" w14:textId="77777777" w:rsidR="00CB582D" w:rsidRDefault="00CB582D" w:rsidP="00CB582D"/>
    <w:p w14:paraId="43CB76D0" w14:textId="77777777" w:rsidR="00CB582D" w:rsidRDefault="00CB582D" w:rsidP="00CB582D">
      <w:r>
        <w:t>3.1 Mesopotamia: The King as Foremost Citizen</w:t>
      </w:r>
    </w:p>
    <w:p w14:paraId="6F99EB57" w14:textId="77777777" w:rsidR="00CB582D" w:rsidRDefault="00CB582D" w:rsidP="00CB582D"/>
    <w:p w14:paraId="7EE66A61" w14:textId="77777777" w:rsidR="00CB582D" w:rsidRDefault="00CB582D" w:rsidP="00CB582D">
      <w:r>
        <w:t>In ancient Mesopotamia, kingship was understood as a human institution. The king was regarded by the people as their mediator with the gods, but he was only the foremost citizen—not a god himself. The king’s primary duty was to maintain order and justice on behalf of the gods, but his authority was ultimately delegated and conditional. He was chosen by the gods, but he remained mortal and accountable. The Sumerian King List, which records mythical reigns of immense length, presents kingship as an institution that descends from heaven, but the kings themselves are not divine beings.</w:t>
      </w:r>
    </w:p>
    <w:p w14:paraId="688BFC27" w14:textId="77777777" w:rsidR="00CB582D" w:rsidRDefault="00CB582D" w:rsidP="00CB582D"/>
    <w:p w14:paraId="5D555A2E" w14:textId="77777777" w:rsidR="00CB582D" w:rsidRDefault="00CB582D" w:rsidP="00CB582D">
      <w:r>
        <w:t>3.2 Egypt: The Pharaoh as Divine King</w:t>
      </w:r>
    </w:p>
    <w:p w14:paraId="2E7173C6" w14:textId="77777777" w:rsidR="00CB582D" w:rsidRDefault="00CB582D" w:rsidP="00CB582D"/>
    <w:p w14:paraId="51733D55" w14:textId="77777777" w:rsidR="00CB582D" w:rsidRDefault="00CB582D" w:rsidP="00CB582D">
      <w:r>
        <w:t>In sharp contrast, Egyptian royal ideology held that the pharaoh was a god. He was a divine descendant of the gods and the earthly representative of the god Horus. He was the son of the sun god Re, and his rule was essential for the maintenance of cosmic order (</w:t>
      </w:r>
      <w:proofErr w:type="spellStart"/>
      <w:r>
        <w:t>ma’at</w:t>
      </w:r>
      <w:proofErr w:type="spellEnd"/>
      <w:r>
        <w:t xml:space="preserve">). The pharaoh’s divinity was absolute and </w:t>
      </w:r>
      <w:r>
        <w:lastRenderedPageBreak/>
        <w:t>unquestionable; a challenge to his authority was considered an attack on the state religion itself. The Egyptian king lists, such as the Turin Canon, present the pharaohs as a continuous line of divine rulers.</w:t>
      </w:r>
    </w:p>
    <w:p w14:paraId="4D04CDE1" w14:textId="77777777" w:rsidR="00CB582D" w:rsidRDefault="00CB582D" w:rsidP="00CB582D"/>
    <w:p w14:paraId="4C5B0F13" w14:textId="77777777" w:rsidR="00CB582D" w:rsidRDefault="00CB582D" w:rsidP="00CB582D">
      <w:r>
        <w:t>3.3 The Iranian Model: A Mediating Middle Ground</w:t>
      </w:r>
    </w:p>
    <w:p w14:paraId="5C5E19AD" w14:textId="77777777" w:rsidR="00CB582D" w:rsidRDefault="00CB582D" w:rsidP="00CB582D"/>
    <w:p w14:paraId="210BF085" w14:textId="77777777" w:rsidR="00CB582D" w:rsidRDefault="00CB582D" w:rsidP="00CB582D">
      <w:r>
        <w:t xml:space="preserve">The Iranian conception of kingship, as embodied by </w:t>
      </w:r>
      <w:proofErr w:type="spellStart"/>
      <w:r>
        <w:t>Kayumars</w:t>
      </w:r>
      <w:proofErr w:type="spellEnd"/>
      <w:r>
        <w:t xml:space="preserve"> and the </w:t>
      </w:r>
      <w:proofErr w:type="spellStart"/>
      <w:r>
        <w:t>Pishdadian</w:t>
      </w:r>
      <w:proofErr w:type="spellEnd"/>
      <w:r>
        <w:t xml:space="preserve"> dynasty, occupies a middle ground between these two models. Like the Mesopotamian king, </w:t>
      </w:r>
      <w:proofErr w:type="spellStart"/>
      <w:r>
        <w:t>Kayumars</w:t>
      </w:r>
      <w:proofErr w:type="spellEnd"/>
      <w:r>
        <w:t xml:space="preserve"> is a mortal who mediates with the divine—he is the first to worship </w:t>
      </w:r>
      <w:proofErr w:type="spellStart"/>
      <w:r>
        <w:t>Ahura</w:t>
      </w:r>
      <w:proofErr w:type="spellEnd"/>
      <w:r>
        <w:t xml:space="preserve"> Mazda. He is not a god himself. However, like the Egyptian pharaoh, </w:t>
      </w:r>
      <w:proofErr w:type="spellStart"/>
      <w:r>
        <w:t>Kayumars</w:t>
      </w:r>
      <w:proofErr w:type="spellEnd"/>
      <w:r>
        <w:t xml:space="preserve"> is the originator of law and justice (</w:t>
      </w:r>
      <w:proofErr w:type="spellStart"/>
      <w:r>
        <w:t>pishdād</w:t>
      </w:r>
      <w:proofErr w:type="spellEnd"/>
      <w:r>
        <w:t xml:space="preserve">), and his reign is essential for the establishment of cosmic order. He is chosen by </w:t>
      </w:r>
      <w:proofErr w:type="spellStart"/>
      <w:r>
        <w:t>Ahura</w:t>
      </w:r>
      <w:proofErr w:type="spellEnd"/>
      <w:r>
        <w:t xml:space="preserve"> Mazda and invested with divine glory (</w:t>
      </w:r>
      <w:proofErr w:type="spellStart"/>
      <w:r>
        <w:t>khvarenah</w:t>
      </w:r>
      <w:proofErr w:type="spellEnd"/>
      <w:r>
        <w:t xml:space="preserve">), but he is also subject to mortality and the assaults of demonic forces. The Iranian model, therefore, combines the Mesopotamian emphasis on human mediation with a quasi-divine authority derived from divine </w:t>
      </w:r>
      <w:proofErr w:type="spellStart"/>
      <w:r>
        <w:t>favour</w:t>
      </w:r>
      <w:proofErr w:type="spellEnd"/>
      <w:r>
        <w:t xml:space="preserve"> rather than inherent divinity.</w:t>
      </w:r>
    </w:p>
    <w:p w14:paraId="6216DCA8" w14:textId="77777777" w:rsidR="00CB582D" w:rsidRDefault="00CB582D" w:rsidP="00CB582D"/>
    <w:p w14:paraId="221BF7AB" w14:textId="77777777" w:rsidR="00CB582D" w:rsidRDefault="00CB582D" w:rsidP="00CB582D">
      <w:r>
        <w:t>---</w:t>
      </w:r>
    </w:p>
    <w:p w14:paraId="25F91E69" w14:textId="77777777" w:rsidR="00CB582D" w:rsidRDefault="00CB582D" w:rsidP="00CB582D"/>
    <w:p w14:paraId="611059F7" w14:textId="77777777" w:rsidR="00CB582D" w:rsidRDefault="00CB582D" w:rsidP="00CB582D">
      <w:r>
        <w:t xml:space="preserve">4. The Geography of the First Kingdom: </w:t>
      </w:r>
      <w:proofErr w:type="spellStart"/>
      <w:r>
        <w:t>Bamiyan</w:t>
      </w:r>
      <w:proofErr w:type="spellEnd"/>
      <w:r>
        <w:t xml:space="preserve">, Balkh, and </w:t>
      </w:r>
      <w:proofErr w:type="spellStart"/>
      <w:r>
        <w:t>Airyanem</w:t>
      </w:r>
      <w:proofErr w:type="spellEnd"/>
      <w:r>
        <w:t xml:space="preserve"> </w:t>
      </w:r>
      <w:proofErr w:type="spellStart"/>
      <w:r>
        <w:t>Vaejah</w:t>
      </w:r>
      <w:proofErr w:type="spellEnd"/>
    </w:p>
    <w:p w14:paraId="4B583EEF" w14:textId="77777777" w:rsidR="00CB582D" w:rsidRDefault="00CB582D" w:rsidP="00CB582D"/>
    <w:p w14:paraId="13732760" w14:textId="77777777" w:rsidR="00CB582D" w:rsidRDefault="00CB582D" w:rsidP="00CB582D">
      <w:r>
        <w:t xml:space="preserve">4.1 </w:t>
      </w:r>
      <w:proofErr w:type="spellStart"/>
      <w:r>
        <w:t>Airyanem</w:t>
      </w:r>
      <w:proofErr w:type="spellEnd"/>
      <w:r>
        <w:t xml:space="preserve"> </w:t>
      </w:r>
      <w:proofErr w:type="spellStart"/>
      <w:r>
        <w:t>Vaejah</w:t>
      </w:r>
      <w:proofErr w:type="spellEnd"/>
      <w:r>
        <w:t>: The Aryan Homeland</w:t>
      </w:r>
    </w:p>
    <w:p w14:paraId="43BA4B77" w14:textId="77777777" w:rsidR="00CB582D" w:rsidRDefault="00CB582D" w:rsidP="00CB582D"/>
    <w:p w14:paraId="5CEDF9E8" w14:textId="77777777" w:rsidR="00CB582D" w:rsidRDefault="00CB582D" w:rsidP="00CB582D">
      <w:r>
        <w:t xml:space="preserve">The </w:t>
      </w:r>
      <w:proofErr w:type="spellStart"/>
      <w:r>
        <w:t>Avesta</w:t>
      </w:r>
      <w:proofErr w:type="spellEnd"/>
      <w:r>
        <w:t xml:space="preserve"> locates the creation of </w:t>
      </w:r>
      <w:proofErr w:type="spellStart"/>
      <w:r>
        <w:t>Gayō</w:t>
      </w:r>
      <w:proofErr w:type="spellEnd"/>
      <w:r>
        <w:t xml:space="preserve"> </w:t>
      </w:r>
      <w:proofErr w:type="spellStart"/>
      <w:r>
        <w:t>Marətan</w:t>
      </w:r>
      <w:proofErr w:type="spellEnd"/>
      <w:r>
        <w:t xml:space="preserve"> in </w:t>
      </w:r>
      <w:proofErr w:type="spellStart"/>
      <w:r>
        <w:t>Airyanem</w:t>
      </w:r>
      <w:proofErr w:type="spellEnd"/>
      <w:r>
        <w:t xml:space="preserve"> </w:t>
      </w:r>
      <w:proofErr w:type="spellStart"/>
      <w:r>
        <w:t>Vaejah</w:t>
      </w:r>
      <w:proofErr w:type="spellEnd"/>
      <w:r>
        <w:t xml:space="preserve">, the mythical homeland of the Aryans. This land, described as the first of the “sixteen perfect lands” created by </w:t>
      </w:r>
      <w:proofErr w:type="spellStart"/>
      <w:r>
        <w:t>Ahura</w:t>
      </w:r>
      <w:proofErr w:type="spellEnd"/>
      <w:r>
        <w:t xml:space="preserve"> Mazda, is central to Zoroastrian sacred geography. According to the scholar Michael </w:t>
      </w:r>
      <w:proofErr w:type="spellStart"/>
      <w:r>
        <w:t>Witzel</w:t>
      </w:r>
      <w:proofErr w:type="spellEnd"/>
      <w:r>
        <w:t xml:space="preserve"> of Harvard University, </w:t>
      </w:r>
      <w:proofErr w:type="spellStart"/>
      <w:r>
        <w:t>Airyanem</w:t>
      </w:r>
      <w:proofErr w:type="spellEnd"/>
      <w:r>
        <w:t xml:space="preserve"> </w:t>
      </w:r>
      <w:proofErr w:type="spellStart"/>
      <w:r>
        <w:t>Vaejah</w:t>
      </w:r>
      <w:proofErr w:type="spellEnd"/>
      <w:r>
        <w:t xml:space="preserve"> lies at the </w:t>
      </w:r>
      <w:proofErr w:type="spellStart"/>
      <w:r>
        <w:t>centre</w:t>
      </w:r>
      <w:proofErr w:type="spellEnd"/>
      <w:r>
        <w:t xml:space="preserve"> of these sixteen lands, corresponding to the central highlands of Afghanistan, around </w:t>
      </w:r>
      <w:proofErr w:type="spellStart"/>
      <w:r>
        <w:t>Bamyan</w:t>
      </w:r>
      <w:proofErr w:type="spellEnd"/>
      <w:r>
        <w:t xml:space="preserve"> Province. This region is the heart of the </w:t>
      </w:r>
      <w:proofErr w:type="spellStart"/>
      <w:r>
        <w:t>Āzrah-jat</w:t>
      </w:r>
      <w:proofErr w:type="spellEnd"/>
      <w:r>
        <w:t xml:space="preserve"> (</w:t>
      </w:r>
      <w:proofErr w:type="spellStart"/>
      <w:r>
        <w:t>Hazarajat</w:t>
      </w:r>
      <w:proofErr w:type="spellEnd"/>
      <w:r>
        <w:t xml:space="preserve">), the historical homeland of the </w:t>
      </w:r>
      <w:proofErr w:type="spellStart"/>
      <w:r>
        <w:t>Hazara</w:t>
      </w:r>
      <w:proofErr w:type="spellEnd"/>
      <w:r>
        <w:t xml:space="preserve"> people.</w:t>
      </w:r>
    </w:p>
    <w:p w14:paraId="309925C7" w14:textId="77777777" w:rsidR="00CB582D" w:rsidRDefault="00CB582D" w:rsidP="00CB582D"/>
    <w:p w14:paraId="7E4B1DBA" w14:textId="77777777" w:rsidR="00CB582D" w:rsidRDefault="00CB582D" w:rsidP="00CB582D">
      <w:r>
        <w:t xml:space="preserve">4.2 The </w:t>
      </w:r>
      <w:proofErr w:type="spellStart"/>
      <w:r>
        <w:t>Pishdadian</w:t>
      </w:r>
      <w:proofErr w:type="spellEnd"/>
      <w:r>
        <w:t xml:space="preserve"> Capital: Balkh (Bactria)</w:t>
      </w:r>
    </w:p>
    <w:p w14:paraId="22C071FE" w14:textId="77777777" w:rsidR="00CB582D" w:rsidRDefault="00CB582D" w:rsidP="00CB582D"/>
    <w:p w14:paraId="4BE1D5B2" w14:textId="77777777" w:rsidR="00CB582D" w:rsidRDefault="00CB582D" w:rsidP="00CB582D">
      <w:r>
        <w:t xml:space="preserve">In the </w:t>
      </w:r>
      <w:proofErr w:type="spellStart"/>
      <w:r>
        <w:t>Shahnameh</w:t>
      </w:r>
      <w:proofErr w:type="spellEnd"/>
      <w:r>
        <w:t xml:space="preserve">, the capital of the </w:t>
      </w:r>
      <w:proofErr w:type="spellStart"/>
      <w:r>
        <w:t>Pishdadian</w:t>
      </w:r>
      <w:proofErr w:type="spellEnd"/>
      <w:r>
        <w:t xml:space="preserve"> dynasty is Balkh (ancient Bactria). Balkh, located in northern Afghanistan, was one of the greatest cities of the ancient Iranian world and a </w:t>
      </w:r>
      <w:proofErr w:type="spellStart"/>
      <w:r>
        <w:t>centre</w:t>
      </w:r>
      <w:proofErr w:type="spellEnd"/>
      <w:r>
        <w:t xml:space="preserve"> of Zoroastrian learning. The association of </w:t>
      </w:r>
      <w:proofErr w:type="spellStart"/>
      <w:r>
        <w:t>Kayumars</w:t>
      </w:r>
      <w:proofErr w:type="spellEnd"/>
      <w:r>
        <w:t xml:space="preserve"> and his successors with Balkh reinforces the eastern Iranian geographical focus of the epic tradition. The region of Balkh and </w:t>
      </w:r>
      <w:proofErr w:type="spellStart"/>
      <w:r>
        <w:t>Bamiyan</w:t>
      </w:r>
      <w:proofErr w:type="spellEnd"/>
      <w:r>
        <w:t xml:space="preserve"> is also the site of the Helmand Civilization (c. 3300–2350 BCE), one of the earliest urban cultures in the eastern Iranian plateau.</w:t>
      </w:r>
    </w:p>
    <w:p w14:paraId="31CFDEE3" w14:textId="77777777" w:rsidR="00CB582D" w:rsidRDefault="00CB582D" w:rsidP="00CB582D"/>
    <w:p w14:paraId="0EA68069" w14:textId="77777777" w:rsidR="00CB582D" w:rsidRDefault="00CB582D" w:rsidP="00CB582D">
      <w:r>
        <w:t xml:space="preserve">4.3 The </w:t>
      </w:r>
      <w:proofErr w:type="spellStart"/>
      <w:r>
        <w:t>Avestan</w:t>
      </w:r>
      <w:proofErr w:type="spellEnd"/>
      <w:r>
        <w:t xml:space="preserve"> River </w:t>
      </w:r>
      <w:proofErr w:type="spellStart"/>
      <w:r>
        <w:t>Daitya</w:t>
      </w:r>
      <w:proofErr w:type="spellEnd"/>
      <w:r>
        <w:t xml:space="preserve"> and Band-e Amir</w:t>
      </w:r>
    </w:p>
    <w:p w14:paraId="2498FCBC" w14:textId="77777777" w:rsidR="00CB582D" w:rsidRDefault="00CB582D" w:rsidP="00CB582D"/>
    <w:p w14:paraId="1C2481CE" w14:textId="77777777" w:rsidR="00CB582D" w:rsidRDefault="00CB582D" w:rsidP="00CB582D">
      <w:r>
        <w:t xml:space="preserve">The sacred river </w:t>
      </w:r>
      <w:proofErr w:type="spellStart"/>
      <w:r>
        <w:t>Vaŋhvī</w:t>
      </w:r>
      <w:proofErr w:type="spellEnd"/>
      <w:r>
        <w:t xml:space="preserve"> </w:t>
      </w:r>
      <w:proofErr w:type="spellStart"/>
      <w:r>
        <w:t>Dāityā</w:t>
      </w:r>
      <w:proofErr w:type="spellEnd"/>
      <w:r>
        <w:t xml:space="preserve"> (Good </w:t>
      </w:r>
      <w:proofErr w:type="spellStart"/>
      <w:r>
        <w:t>Daitya</w:t>
      </w:r>
      <w:proofErr w:type="spellEnd"/>
      <w:r>
        <w:t xml:space="preserve">) of the </w:t>
      </w:r>
      <w:proofErr w:type="spellStart"/>
      <w:r>
        <w:t>Avesta</w:t>
      </w:r>
      <w:proofErr w:type="spellEnd"/>
      <w:r>
        <w:t xml:space="preserve">, described as flowing through </w:t>
      </w:r>
      <w:proofErr w:type="spellStart"/>
      <w:r>
        <w:t>Airyanem</w:t>
      </w:r>
      <w:proofErr w:type="spellEnd"/>
      <w:r>
        <w:t xml:space="preserve"> </w:t>
      </w:r>
      <w:proofErr w:type="spellStart"/>
      <w:r>
        <w:t>Vaejah</w:t>
      </w:r>
      <w:proofErr w:type="spellEnd"/>
      <w:r>
        <w:t xml:space="preserve">, is not a mythical abstraction. Its headwaters are located in the central Afghan highlands—today known as the Band-e Amir lakes in </w:t>
      </w:r>
      <w:proofErr w:type="spellStart"/>
      <w:r>
        <w:t>Bamiyan</w:t>
      </w:r>
      <w:proofErr w:type="spellEnd"/>
      <w:r>
        <w:t>.</w:t>
      </w:r>
    </w:p>
    <w:p w14:paraId="3F947694" w14:textId="77777777" w:rsidR="00CB582D" w:rsidRDefault="00CB582D" w:rsidP="00CB582D"/>
    <w:p w14:paraId="3D95F531" w14:textId="77777777" w:rsidR="00CB582D" w:rsidRDefault="00CB582D" w:rsidP="00CB582D">
      <w:r>
        <w:t>· Geographical Anchor: The Band-e Amir lakes are the source of the Helmand River (</w:t>
      </w:r>
      <w:proofErr w:type="spellStart"/>
      <w:r>
        <w:t>Avestan</w:t>
      </w:r>
      <w:proofErr w:type="spellEnd"/>
      <w:r>
        <w:t xml:space="preserve"> </w:t>
      </w:r>
      <w:proofErr w:type="spellStart"/>
      <w:r>
        <w:t>Haētumant</w:t>
      </w:r>
      <w:proofErr w:type="spellEnd"/>
      <w:r>
        <w:t xml:space="preserve">), which the </w:t>
      </w:r>
      <w:proofErr w:type="spellStart"/>
      <w:r>
        <w:t>Avesta</w:t>
      </w:r>
      <w:proofErr w:type="spellEnd"/>
      <w:r>
        <w:t xml:space="preserve"> celebrates as a sacred stream. This is the only location in the central highlands that matches the </w:t>
      </w:r>
      <w:proofErr w:type="spellStart"/>
      <w:r>
        <w:t>Avestan</w:t>
      </w:r>
      <w:proofErr w:type="spellEnd"/>
      <w:r>
        <w:t xml:space="preserve"> description of the </w:t>
      </w:r>
      <w:proofErr w:type="spellStart"/>
      <w:r>
        <w:t>Daitya</w:t>
      </w:r>
      <w:proofErr w:type="spellEnd"/>
      <w:r>
        <w:t>.</w:t>
      </w:r>
    </w:p>
    <w:p w14:paraId="3CEC2215" w14:textId="77777777" w:rsidR="00CB582D" w:rsidRDefault="00CB582D" w:rsidP="00CB582D">
      <w:r>
        <w:t xml:space="preserve">· Name Change: The transformation of the name from </w:t>
      </w:r>
      <w:proofErr w:type="spellStart"/>
      <w:r>
        <w:t>Daitya</w:t>
      </w:r>
      <w:proofErr w:type="spellEnd"/>
      <w:r>
        <w:t xml:space="preserve"> to Band-e Amir occurred during the Arab conquest of the 7th–9th centuries CE. Islamic sources replaced the Zoroastrian </w:t>
      </w:r>
      <w:proofErr w:type="spellStart"/>
      <w:r>
        <w:t>toponym</w:t>
      </w:r>
      <w:proofErr w:type="spellEnd"/>
      <w:r>
        <w:t xml:space="preserve"> with a legend associating the site with Ali ibn </w:t>
      </w:r>
      <w:proofErr w:type="spellStart"/>
      <w:r>
        <w:t>Abi</w:t>
      </w:r>
      <w:proofErr w:type="spellEnd"/>
      <w:r>
        <w:t xml:space="preserve"> </w:t>
      </w:r>
      <w:proofErr w:type="spellStart"/>
      <w:r>
        <w:t>Talib</w:t>
      </w:r>
      <w:proofErr w:type="spellEnd"/>
      <w:r>
        <w:t xml:space="preserve">, effectively erasing its </w:t>
      </w:r>
      <w:proofErr w:type="spellStart"/>
      <w:r>
        <w:t>Avestan</w:t>
      </w:r>
      <w:proofErr w:type="spellEnd"/>
      <w:r>
        <w:t xml:space="preserve"> identity. The name </w:t>
      </w:r>
      <w:proofErr w:type="spellStart"/>
      <w:r>
        <w:t>Daitya</w:t>
      </w:r>
      <w:proofErr w:type="spellEnd"/>
      <w:r>
        <w:t xml:space="preserve"> is absent from Islamic texts, illustrating a systematic erasure of Zoroastrian sacred geography.</w:t>
      </w:r>
    </w:p>
    <w:p w14:paraId="49E44BD5" w14:textId="77777777" w:rsidR="00CB582D" w:rsidRDefault="00CB582D" w:rsidP="00CB582D"/>
    <w:p w14:paraId="563DF9CD" w14:textId="77777777" w:rsidR="00CB582D" w:rsidRDefault="00CB582D" w:rsidP="00CB582D">
      <w:r>
        <w:t xml:space="preserve">4.4 The </w:t>
      </w:r>
      <w:proofErr w:type="spellStart"/>
      <w:r>
        <w:t>Āzrah</w:t>
      </w:r>
      <w:proofErr w:type="spellEnd"/>
      <w:r>
        <w:t xml:space="preserve"> (</w:t>
      </w:r>
      <w:proofErr w:type="spellStart"/>
      <w:r>
        <w:t>Hazara</w:t>
      </w:r>
      <w:proofErr w:type="spellEnd"/>
      <w:r>
        <w:t>) Connection: Language and Genetics</w:t>
      </w:r>
    </w:p>
    <w:p w14:paraId="22A51BFE" w14:textId="77777777" w:rsidR="00CB582D" w:rsidRDefault="00CB582D" w:rsidP="00CB582D"/>
    <w:p w14:paraId="332FB60B" w14:textId="77777777" w:rsidR="00CB582D" w:rsidRDefault="00CB582D" w:rsidP="00CB582D">
      <w:r>
        <w:t xml:space="preserve">The linguistic and historical evidence linking the modern </w:t>
      </w:r>
      <w:proofErr w:type="spellStart"/>
      <w:r>
        <w:t>Āzrah</w:t>
      </w:r>
      <w:proofErr w:type="spellEnd"/>
      <w:r>
        <w:t xml:space="preserve"> (</w:t>
      </w:r>
      <w:proofErr w:type="spellStart"/>
      <w:r>
        <w:t>Hazara</w:t>
      </w:r>
      <w:proofErr w:type="spellEnd"/>
      <w:r>
        <w:t>) people to this ancient geography is significant.</w:t>
      </w:r>
    </w:p>
    <w:p w14:paraId="48678482" w14:textId="77777777" w:rsidR="00CB582D" w:rsidRDefault="00CB582D" w:rsidP="00CB582D"/>
    <w:p w14:paraId="46535820" w14:textId="77777777" w:rsidR="00CB582D" w:rsidRDefault="00CB582D" w:rsidP="00CB582D">
      <w:r>
        <w:t xml:space="preserve">· Linguistic Continuity: The name </w:t>
      </w:r>
      <w:proofErr w:type="spellStart"/>
      <w:r>
        <w:t>Āzrah</w:t>
      </w:r>
      <w:proofErr w:type="spellEnd"/>
      <w:r>
        <w:t xml:space="preserve"> is the direct linguistic descendant of the </w:t>
      </w:r>
      <w:proofErr w:type="spellStart"/>
      <w:r>
        <w:t>Avestan</w:t>
      </w:r>
      <w:proofErr w:type="spellEnd"/>
      <w:r>
        <w:t xml:space="preserve"> </w:t>
      </w:r>
      <w:proofErr w:type="spellStart"/>
      <w:r>
        <w:t>Arəzahī</w:t>
      </w:r>
      <w:proofErr w:type="spellEnd"/>
      <w:r>
        <w:t xml:space="preserve">, the eastern clime of light mentioned in the </w:t>
      </w:r>
      <w:proofErr w:type="spellStart"/>
      <w:r>
        <w:t>Mihr</w:t>
      </w:r>
      <w:proofErr w:type="spellEnd"/>
      <w:r>
        <w:t xml:space="preserve"> </w:t>
      </w:r>
      <w:proofErr w:type="spellStart"/>
      <w:r>
        <w:t>Yašt</w:t>
      </w:r>
      <w:proofErr w:type="spellEnd"/>
      <w:r>
        <w:t xml:space="preserve">. The </w:t>
      </w:r>
      <w:proofErr w:type="spellStart"/>
      <w:r>
        <w:t>Hazara</w:t>
      </w:r>
      <w:proofErr w:type="spellEnd"/>
      <w:r>
        <w:t xml:space="preserve"> people inhabit the very region identified as </w:t>
      </w:r>
      <w:proofErr w:type="spellStart"/>
      <w:r>
        <w:t>Airyanem</w:t>
      </w:r>
      <w:proofErr w:type="spellEnd"/>
      <w:r>
        <w:t xml:space="preserve"> </w:t>
      </w:r>
      <w:proofErr w:type="spellStart"/>
      <w:r>
        <w:t>Vaejah</w:t>
      </w:r>
      <w:proofErr w:type="spellEnd"/>
      <w:r>
        <w:t xml:space="preserve">—the central highlands of Afghanistan, including </w:t>
      </w:r>
      <w:proofErr w:type="spellStart"/>
      <w:r>
        <w:t>Bamiyan</w:t>
      </w:r>
      <w:proofErr w:type="spellEnd"/>
      <w:r>
        <w:t xml:space="preserve"> and the upper Helmand basin. The </w:t>
      </w:r>
      <w:proofErr w:type="spellStart"/>
      <w:r>
        <w:t>Avestan</w:t>
      </w:r>
      <w:proofErr w:type="spellEnd"/>
      <w:r>
        <w:t xml:space="preserve"> origin of the name </w:t>
      </w:r>
      <w:proofErr w:type="spellStart"/>
      <w:r>
        <w:t>Gayō</w:t>
      </w:r>
      <w:proofErr w:type="spellEnd"/>
      <w:r>
        <w:t xml:space="preserve"> </w:t>
      </w:r>
      <w:proofErr w:type="spellStart"/>
      <w:r>
        <w:t>Marətan</w:t>
      </w:r>
      <w:proofErr w:type="spellEnd"/>
      <w:r>
        <w:t xml:space="preserve"> is also preserved in the </w:t>
      </w:r>
      <w:proofErr w:type="spellStart"/>
      <w:r>
        <w:t>Hazaragi</w:t>
      </w:r>
      <w:proofErr w:type="spellEnd"/>
      <w:r>
        <w:t xml:space="preserve"> dialect, where the word </w:t>
      </w:r>
      <w:proofErr w:type="spellStart"/>
      <w:r>
        <w:t>mard</w:t>
      </w:r>
      <w:proofErr w:type="spellEnd"/>
      <w:r>
        <w:t xml:space="preserve"> (human being) and its variants (e.g., </w:t>
      </w:r>
      <w:proofErr w:type="spellStart"/>
      <w:r>
        <w:t>marz</w:t>
      </w:r>
      <w:proofErr w:type="spellEnd"/>
      <w:r>
        <w:t>, mart) continue to be used in everyday speech.</w:t>
      </w:r>
    </w:p>
    <w:p w14:paraId="0668A8DB" w14:textId="77777777" w:rsidR="00CB582D" w:rsidRDefault="00CB582D" w:rsidP="00CB582D">
      <w:r>
        <w:t xml:space="preserve">· Genetic Evidence: Genetic studies (Di </w:t>
      </w:r>
      <w:proofErr w:type="spellStart"/>
      <w:r>
        <w:t>Cristofaro</w:t>
      </w:r>
      <w:proofErr w:type="spellEnd"/>
      <w:r>
        <w:t xml:space="preserve"> et al., 2013) show that the </w:t>
      </w:r>
      <w:proofErr w:type="spellStart"/>
      <w:r>
        <w:t>Hazara</w:t>
      </w:r>
      <w:proofErr w:type="spellEnd"/>
      <w:r>
        <w:t xml:space="preserve"> carry a high frequency of the Neolithic Iranian </w:t>
      </w:r>
      <w:proofErr w:type="spellStart"/>
      <w:r>
        <w:t>haplogroup</w:t>
      </w:r>
      <w:proofErr w:type="spellEnd"/>
      <w:r>
        <w:t xml:space="preserve"> J2a1-Page55 (13%) and G2 (8.7%), indicating a deep indigenous presence in this region. These </w:t>
      </w:r>
      <w:proofErr w:type="spellStart"/>
      <w:r>
        <w:t>haplogroups</w:t>
      </w:r>
      <w:proofErr w:type="spellEnd"/>
      <w:r>
        <w:t xml:space="preserve"> represent the pre-R1a-Z93 Neolithic Iranian substrate, distinct from the later steppe migrations associated with the spread of Indo-Iranian languages. The R1a-Z93 </w:t>
      </w:r>
      <w:proofErr w:type="spellStart"/>
      <w:r>
        <w:t>haplogroup</w:t>
      </w:r>
      <w:proofErr w:type="spellEnd"/>
      <w:r>
        <w:t xml:space="preserve">, which is found at high frequencies in Pashtuns (51%) and Tajiks (30.4%), appears at only 6.67% in the </w:t>
      </w:r>
      <w:proofErr w:type="spellStart"/>
      <w:r>
        <w:t>Hazara</w:t>
      </w:r>
      <w:proofErr w:type="spellEnd"/>
      <w:r>
        <w:t xml:space="preserve">. This data confirms that the </w:t>
      </w:r>
      <w:proofErr w:type="spellStart"/>
      <w:r>
        <w:t>Hazara</w:t>
      </w:r>
      <w:proofErr w:type="spellEnd"/>
      <w:r>
        <w:t xml:space="preserve"> are not a product of the steppe migrations but are the inheritors of the Neolithic Iranian populations that created the </w:t>
      </w:r>
      <w:proofErr w:type="spellStart"/>
      <w:r>
        <w:t>Avestan</w:t>
      </w:r>
      <w:proofErr w:type="spellEnd"/>
      <w:r>
        <w:t xml:space="preserve"> tradition.</w:t>
      </w:r>
    </w:p>
    <w:p w14:paraId="78229C3E" w14:textId="77777777" w:rsidR="00CB582D" w:rsidRDefault="00CB582D" w:rsidP="00CB582D"/>
    <w:p w14:paraId="62D0E9B0" w14:textId="77777777" w:rsidR="00CB582D" w:rsidRDefault="00CB582D" w:rsidP="00CB582D">
      <w:r>
        <w:t>---</w:t>
      </w:r>
    </w:p>
    <w:p w14:paraId="03A1E5D3" w14:textId="77777777" w:rsidR="00CB582D" w:rsidRDefault="00CB582D" w:rsidP="00CB582D"/>
    <w:p w14:paraId="74FA7DCE" w14:textId="77777777" w:rsidR="00CB582D" w:rsidRDefault="00CB582D" w:rsidP="00CB582D">
      <w:r>
        <w:lastRenderedPageBreak/>
        <w:t>5. Conclusion</w:t>
      </w:r>
    </w:p>
    <w:p w14:paraId="48B943D8" w14:textId="77777777" w:rsidR="00CB582D" w:rsidRDefault="00CB582D" w:rsidP="00CB582D"/>
    <w:p w14:paraId="066C80A0" w14:textId="77777777" w:rsidR="00CB582D" w:rsidRDefault="00CB582D" w:rsidP="00CB582D">
      <w:proofErr w:type="spellStart"/>
      <w:r>
        <w:t>Kayumars</w:t>
      </w:r>
      <w:proofErr w:type="spellEnd"/>
      <w:r>
        <w:t xml:space="preserve"> stands as the primordial figure who bridges the cosmic and the political in Iranian tradition. As the first human in the </w:t>
      </w:r>
      <w:proofErr w:type="spellStart"/>
      <w:r>
        <w:t>Avesta</w:t>
      </w:r>
      <w:proofErr w:type="spellEnd"/>
      <w:r>
        <w:t xml:space="preserve"> and the first king in the </w:t>
      </w:r>
      <w:proofErr w:type="spellStart"/>
      <w:r>
        <w:t>Shahnameh</w:t>
      </w:r>
      <w:proofErr w:type="spellEnd"/>
      <w:r>
        <w:t xml:space="preserve">, he embodies the ideal of just rule established in accordance with divine will. His kingdom, </w:t>
      </w:r>
      <w:proofErr w:type="spellStart"/>
      <w:r>
        <w:t>centred</w:t>
      </w:r>
      <w:proofErr w:type="spellEnd"/>
      <w:r>
        <w:t xml:space="preserve"> on Balkh and the region of </w:t>
      </w:r>
      <w:proofErr w:type="spellStart"/>
      <w:r>
        <w:t>Airyanem</w:t>
      </w:r>
      <w:proofErr w:type="spellEnd"/>
      <w:r>
        <w:t xml:space="preserve"> </w:t>
      </w:r>
      <w:proofErr w:type="spellStart"/>
      <w:r>
        <w:t>Vaejah</w:t>
      </w:r>
      <w:proofErr w:type="spellEnd"/>
      <w:r>
        <w:t xml:space="preserve"> (modern </w:t>
      </w:r>
      <w:proofErr w:type="spellStart"/>
      <w:r>
        <w:t>Bamiyan</w:t>
      </w:r>
      <w:proofErr w:type="spellEnd"/>
      <w:r>
        <w:t xml:space="preserve"> and the </w:t>
      </w:r>
      <w:proofErr w:type="spellStart"/>
      <w:r>
        <w:t>Hazarajat</w:t>
      </w:r>
      <w:proofErr w:type="spellEnd"/>
      <w:r>
        <w:t xml:space="preserve">), anchors this mythic narrative in the eastern Iranian world. The comparative analysis of royal ideologies reveals that the Iranian conception of kingship, as represented by </w:t>
      </w:r>
      <w:proofErr w:type="spellStart"/>
      <w:r>
        <w:t>Kayumars</w:t>
      </w:r>
      <w:proofErr w:type="spellEnd"/>
      <w:r>
        <w:t>, occupies a unique position: it is neither the purely human mediation of Mesopotamia nor the absolute divinity of Egypt, but a distinct synthesis where the king is a mortal chosen by the divine and invested with cosmic responsibility.</w:t>
      </w:r>
    </w:p>
    <w:p w14:paraId="0B8F34B9" w14:textId="77777777" w:rsidR="00CB582D" w:rsidRDefault="00CB582D" w:rsidP="00CB582D"/>
    <w:p w14:paraId="0FE65256" w14:textId="77777777" w:rsidR="00CB582D" w:rsidRDefault="00CB582D" w:rsidP="00CB582D">
      <w:r>
        <w:t xml:space="preserve">The identification of </w:t>
      </w:r>
      <w:proofErr w:type="spellStart"/>
      <w:r>
        <w:t>Airyanem</w:t>
      </w:r>
      <w:proofErr w:type="spellEnd"/>
      <w:r>
        <w:t xml:space="preserve"> </w:t>
      </w:r>
      <w:proofErr w:type="spellStart"/>
      <w:r>
        <w:t>Vaejah</w:t>
      </w:r>
      <w:proofErr w:type="spellEnd"/>
      <w:r>
        <w:t xml:space="preserve"> with the central highlands of Afghanistan, the Band-e Amir lakes as the physical manifestation of the </w:t>
      </w:r>
      <w:proofErr w:type="spellStart"/>
      <w:r>
        <w:t>Daitya</w:t>
      </w:r>
      <w:proofErr w:type="spellEnd"/>
      <w:r>
        <w:t xml:space="preserve"> river, and the linguistic and genetic continuity of the </w:t>
      </w:r>
      <w:proofErr w:type="spellStart"/>
      <w:r>
        <w:t>Hazara</w:t>
      </w:r>
      <w:proofErr w:type="spellEnd"/>
      <w:r>
        <w:t xml:space="preserve"> people in this region demonstrate that the </w:t>
      </w:r>
      <w:proofErr w:type="spellStart"/>
      <w:r>
        <w:t>Hazara</w:t>
      </w:r>
      <w:proofErr w:type="spellEnd"/>
      <w:r>
        <w:t xml:space="preserve"> are not a late intrusion but the inheritors of the very landscape where the myth of the first king—</w:t>
      </w:r>
      <w:proofErr w:type="spellStart"/>
      <w:r>
        <w:t>Kayumars</w:t>
      </w:r>
      <w:proofErr w:type="spellEnd"/>
      <w:r>
        <w:t>—was first conceived.</w:t>
      </w:r>
    </w:p>
    <w:p w14:paraId="11F15867" w14:textId="77777777" w:rsidR="00CB582D" w:rsidRDefault="00CB582D" w:rsidP="00CB582D"/>
    <w:p w14:paraId="72D932DE" w14:textId="77777777" w:rsidR="00CB582D" w:rsidRDefault="00CB582D" w:rsidP="00CB582D">
      <w:r>
        <w:t>---</w:t>
      </w:r>
    </w:p>
    <w:p w14:paraId="11816B7B" w14:textId="77777777" w:rsidR="00CB582D" w:rsidRDefault="00CB582D" w:rsidP="00CB582D"/>
    <w:p w14:paraId="2D0518B0" w14:textId="77777777" w:rsidR="00CB582D" w:rsidRDefault="00CB582D" w:rsidP="00CB582D">
      <w:r>
        <w:t>6. References</w:t>
      </w:r>
    </w:p>
    <w:p w14:paraId="3790EAF5" w14:textId="77777777" w:rsidR="00CB582D" w:rsidRDefault="00CB582D" w:rsidP="00CB582D"/>
    <w:p w14:paraId="4D929CBC" w14:textId="77777777" w:rsidR="00CB582D" w:rsidRDefault="00CB582D" w:rsidP="00CB582D">
      <w:r>
        <w:t xml:space="preserve">1. </w:t>
      </w:r>
      <w:proofErr w:type="spellStart"/>
      <w:r>
        <w:t>Keyumars</w:t>
      </w:r>
      <w:proofErr w:type="spellEnd"/>
      <w:r>
        <w:t xml:space="preserve"> – Wikipedia, https://en.wikipedia.org/wiki/Gayomart</w:t>
      </w:r>
    </w:p>
    <w:p w14:paraId="0C93A913" w14:textId="77777777" w:rsidR="00CB582D" w:rsidRDefault="00CB582D" w:rsidP="00CB582D">
      <w:r>
        <w:t xml:space="preserve">2. </w:t>
      </w:r>
      <w:proofErr w:type="spellStart"/>
      <w:r>
        <w:t>Keyumars</w:t>
      </w:r>
      <w:proofErr w:type="spellEnd"/>
      <w:r>
        <w:t xml:space="preserve"> – The Free Dictionary, https://encyclopedia.thefreedictionary.com/Keyumars</w:t>
      </w:r>
    </w:p>
    <w:p w14:paraId="17C9EA0A" w14:textId="77777777" w:rsidR="00CB582D" w:rsidRDefault="00CB582D" w:rsidP="00CB582D">
      <w:r>
        <w:t xml:space="preserve">3. </w:t>
      </w:r>
      <w:proofErr w:type="spellStart"/>
      <w:r>
        <w:t>Keyumars</w:t>
      </w:r>
      <w:proofErr w:type="spellEnd"/>
      <w:r>
        <w:t xml:space="preserve"> – Wikipedia (full), https://en.wikipedia.org/?curid=4819289</w:t>
      </w:r>
    </w:p>
    <w:p w14:paraId="38243496" w14:textId="77777777" w:rsidR="00CB582D" w:rsidRDefault="00CB582D" w:rsidP="00CB582D">
      <w:r>
        <w:t xml:space="preserve">4. CAIS – </w:t>
      </w:r>
      <w:proofErr w:type="spellStart"/>
      <w:r>
        <w:t>Gayômart</w:t>
      </w:r>
      <w:proofErr w:type="spellEnd"/>
      <w:r>
        <w:t>, The Protoplast of Man, http://www.cais-soas.com/CAIS/Mythology/gayomart.htm</w:t>
      </w:r>
    </w:p>
    <w:p w14:paraId="600225BF" w14:textId="77777777" w:rsidR="00CB582D" w:rsidRDefault="00CB582D" w:rsidP="00CB582D">
      <w:r>
        <w:t>5. Frankfort, H. Kingship and the Gods, University of Chicago Press</w:t>
      </w:r>
    </w:p>
    <w:p w14:paraId="4D6F06A0" w14:textId="77777777" w:rsidR="00CB582D" w:rsidRDefault="00CB582D" w:rsidP="00CB582D">
      <w:r>
        <w:t>6. Hill, J.A., Jones, P., Morales, A.J. Experiencing Power, Generating Authority: Cosmos, Politics, and the Ideology of Kingship in Ancient Egypt and Mesopotamia</w:t>
      </w:r>
    </w:p>
    <w:p w14:paraId="375DF3BA" w14:textId="77777777" w:rsidR="00CB582D" w:rsidRDefault="00CB582D" w:rsidP="00CB582D">
      <w:r>
        <w:t xml:space="preserve">7. Di </w:t>
      </w:r>
      <w:proofErr w:type="spellStart"/>
      <w:r>
        <w:t>Cristofaro</w:t>
      </w:r>
      <w:proofErr w:type="spellEnd"/>
      <w:r>
        <w:t>, J. et al. (2013). Afghan Hindu Kush: Where Eurasian Sub-Continent Gene Flows Converge. PLOS ONE, 8(10): e76748</w:t>
      </w:r>
    </w:p>
    <w:p w14:paraId="2A5C0AFA" w14:textId="77777777" w:rsidR="00CB582D" w:rsidRDefault="00CB582D" w:rsidP="00CB582D">
      <w:r>
        <w:t xml:space="preserve">8. </w:t>
      </w:r>
      <w:proofErr w:type="spellStart"/>
      <w:r>
        <w:t>Witzel</w:t>
      </w:r>
      <w:proofErr w:type="spellEnd"/>
      <w:r>
        <w:t>, M. (2000). The Home of the Aryans. Harvard University</w:t>
      </w:r>
    </w:p>
    <w:p w14:paraId="281DDB95" w14:textId="77777777" w:rsidR="00CB582D" w:rsidRDefault="00CB582D" w:rsidP="00CB582D">
      <w:r>
        <w:t xml:space="preserve">9. </w:t>
      </w:r>
      <w:proofErr w:type="spellStart"/>
      <w:r>
        <w:t>Bundahišn</w:t>
      </w:r>
      <w:proofErr w:type="spellEnd"/>
      <w:r>
        <w:t xml:space="preserve"> (Zoroastrian book of creation)</w:t>
      </w:r>
    </w:p>
    <w:p w14:paraId="1C7DB6E7" w14:textId="77777777" w:rsidR="00CB582D" w:rsidRDefault="00CB582D">
      <w:r>
        <w:t xml:space="preserve">10. Ferdowsi. </w:t>
      </w:r>
      <w:proofErr w:type="spellStart"/>
      <w:r>
        <w:t>Shahnameh</w:t>
      </w:r>
      <w:proofErr w:type="spellEnd"/>
    </w:p>
    <w:sectPr w:rsidR="00CB58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607493"/>
    <w:multiLevelType w:val="hybridMultilevel"/>
    <w:tmpl w:val="F63E4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9607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82D"/>
    <w:rsid w:val="0003718B"/>
    <w:rsid w:val="00051A71"/>
    <w:rsid w:val="000A0D0A"/>
    <w:rsid w:val="000C5334"/>
    <w:rsid w:val="00102F59"/>
    <w:rsid w:val="00114ECB"/>
    <w:rsid w:val="0033632D"/>
    <w:rsid w:val="00514D0B"/>
    <w:rsid w:val="00C238FF"/>
    <w:rsid w:val="00C448CC"/>
    <w:rsid w:val="00CB582D"/>
    <w:rsid w:val="00D34B3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75864C04"/>
  <w15:chartTrackingRefBased/>
  <w15:docId w15:val="{FAFD0264-4575-AE48-B08B-F8811AFDE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48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jpe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1670</Words>
  <Characters>9524</Characters>
  <Application>Microsoft Office Word</Application>
  <DocSecurity>0</DocSecurity>
  <Lines>79</Lines>
  <Paragraphs>22</Paragraphs>
  <ScaleCrop>false</ScaleCrop>
  <Company/>
  <LinksUpToDate>false</LinksUpToDate>
  <CharactersWithSpaces>11172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Cohistani bilal</dc:creator>
  <cp:keywords/>
  <dc:description/>
  <cp:lastModifiedBy>Cohistani bilal</cp:lastModifiedBy>
  <cp:revision>13</cp:revision>
  <dcterms:created xsi:type="dcterms:W3CDTF">2026-07-24T20:49:00Z</dcterms:created>
  <dcterms:modified xsi:type="dcterms:W3CDTF">2026-07-24T22:01:00Z</dcterms:modified>
</cp:coreProperties>
</file>