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A1A6E"/>
          <w:sz w:val="44"/>
        </w:rPr>
        <w:t>Matracon Deployment 27072026</w:t>
      </w:r>
    </w:p>
    <w:p>
      <w:r>
        <w:rPr>
          <w:b/>
        </w:rPr>
        <w:t xml:space="preserve">Release Date: </w:t>
      </w:r>
      <w:r>
        <w:t>27 July 2026</w:t>
      </w:r>
    </w:p>
    <w:p>
      <w:r>
        <w:rPr>
          <w:b/>
        </w:rPr>
        <w:t xml:space="preserve">Environment: </w:t>
      </w:r>
      <w:r>
        <w:t>Odoo 19 (Odoo.sh — Development → Staging → Production)</w:t>
      </w:r>
    </w:p>
    <w:p>
      <w:r>
        <w:rPr>
          <w:b/>
        </w:rPr>
        <w:t xml:space="preserve">Modules Affected: </w:t>
      </w:r>
      <w:r>
        <w:t>site_operations (v1.7.6+),  purchase_demand_raise (v1.4.4+)</w:t>
      </w:r>
    </w:p>
    <w:p>
      <w:pPr>
        <w:spacing w:after="120"/>
      </w:pPr>
      <w:r>
        <w:rPr>
          <w:b/>
        </w:rPr>
        <w:t xml:space="preserve">Prepared by: </w:t>
      </w:r>
      <w:r>
        <w:t>Awais</w:t>
      </w:r>
    </w:p>
    <w:p/>
    <w:p>
      <w:pPr>
        <w:pStyle w:val="Heading1"/>
      </w:pPr>
      <w:r>
        <w:rPr>
          <w:color w:val="1F3864"/>
        </w:rPr>
        <w:t>1. Scope Summary</w:t>
      </w:r>
    </w:p>
    <w:p>
      <w:r>
        <w:t xml:space="preserve">This deployment consolidates all changes developed between </w:t>
      </w:r>
      <w:r>
        <w:rPr>
          <w:b/>
        </w:rPr>
        <w:t>09 July 2026 and 27 July 2026</w:t>
      </w:r>
      <w:r>
        <w:t xml:space="preserve"> across two sessions. It covers the following functional areas: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b/>
                <w:color w:val="FFFFFF"/>
              </w:rPr>
              <w:t>Area</w:t>
            </w:r>
          </w:p>
        </w:tc>
        <w:tc>
          <w:tcPr>
            <w:tcW w:type="dxa" w:w="4703"/>
            <w:shd w:val="clear" w:color="auto" w:fill="1F3864"/>
          </w:tcPr>
          <w:p>
            <w:r>
              <w:rPr>
                <w:b/>
                <w:color w:val="FFFFFF"/>
              </w:rPr>
              <w:t>Type</w:t>
            </w:r>
          </w:p>
        </w:tc>
      </w:tr>
      <w:tr>
        <w:tc>
          <w:tcPr>
            <w:tcW w:type="dxa" w:w="4703"/>
          </w:tcPr>
          <w:p>
            <w:r>
              <w:rPr>
                <w:sz w:val="18"/>
              </w:rPr>
              <w:t>Batch Vendor Payment System</w:t>
            </w:r>
          </w:p>
        </w:tc>
        <w:tc>
          <w:tcPr>
            <w:tcW w:type="dxa" w:w="4703"/>
          </w:tcPr>
          <w:p>
            <w:r>
              <w:rPr>
                <w:sz w:val="18"/>
              </w:rPr>
              <w:t>New Feature</w:t>
            </w:r>
          </w:p>
        </w:tc>
      </w:tr>
      <w:tr>
        <w:tc>
          <w:tcPr>
            <w:tcW w:type="dxa" w:w="4703"/>
          </w:tcPr>
          <w:p>
            <w:r>
              <w:rPr>
                <w:sz w:val="18"/>
              </w:rPr>
              <w:t>Purchase Requisition (PR) Cancel / Delete</w:t>
            </w:r>
          </w:p>
        </w:tc>
        <w:tc>
          <w:tcPr>
            <w:tcW w:type="dxa" w:w="4703"/>
          </w:tcPr>
          <w:p>
            <w:r>
              <w:rPr>
                <w:sz w:val="18"/>
              </w:rPr>
              <w:t>Enhancement</w:t>
            </w:r>
          </w:p>
        </w:tc>
      </w:tr>
      <w:tr>
        <w:tc>
          <w:tcPr>
            <w:tcW w:type="dxa" w:w="4703"/>
          </w:tcPr>
          <w:p>
            <w:r>
              <w:rPr>
                <w:sz w:val="18"/>
              </w:rPr>
              <w:t>PO / RFQ PDF Letterhead Redesign</w:t>
            </w:r>
          </w:p>
        </w:tc>
        <w:tc>
          <w:tcPr>
            <w:tcW w:type="dxa" w:w="4703"/>
          </w:tcPr>
          <w:p>
            <w:r>
              <w:rPr>
                <w:sz w:val="18"/>
              </w:rPr>
              <w:t>Enhancement</w:t>
            </w:r>
          </w:p>
        </w:tc>
      </w:tr>
      <w:tr>
        <w:tc>
          <w:tcPr>
            <w:tcW w:type="dxa" w:w="4703"/>
          </w:tcPr>
          <w:p>
            <w:r>
              <w:rPr>
                <w:sz w:val="18"/>
              </w:rPr>
              <w:t>Bank Payment Voucher (BPV) PDF Overhaul</w:t>
            </w:r>
          </w:p>
        </w:tc>
        <w:tc>
          <w:tcPr>
            <w:tcW w:type="dxa" w:w="4703"/>
          </w:tcPr>
          <w:p>
            <w:r>
              <w:rPr>
                <w:sz w:val="18"/>
              </w:rPr>
              <w:t>Enhancement</w:t>
            </w:r>
          </w:p>
        </w:tc>
      </w:tr>
      <w:tr>
        <w:tc>
          <w:tcPr>
            <w:tcW w:type="dxa" w:w="4703"/>
          </w:tcPr>
          <w:p>
            <w:r>
              <w:rPr>
                <w:sz w:val="18"/>
              </w:rPr>
              <w:t>Petty Cash Credit Account Bug Fix</w:t>
            </w:r>
          </w:p>
        </w:tc>
        <w:tc>
          <w:tcPr>
            <w:tcW w:type="dxa" w:w="4703"/>
          </w:tcPr>
          <w:p>
            <w:r>
              <w:rPr>
                <w:sz w:val="18"/>
              </w:rPr>
              <w:t>Bug Fix</w:t>
            </w:r>
          </w:p>
        </w:tc>
      </w:tr>
      <w:tr>
        <w:tc>
          <w:tcPr>
            <w:tcW w:type="dxa" w:w="4703"/>
          </w:tcPr>
          <w:p>
            <w:r>
              <w:rPr>
                <w:sz w:val="18"/>
              </w:rPr>
              <w:t>Material Issuance — 3rd Party &amp; SA Review</w:t>
            </w:r>
          </w:p>
        </w:tc>
        <w:tc>
          <w:tcPr>
            <w:tcW w:type="dxa" w:w="4703"/>
          </w:tcPr>
          <w:p>
            <w:r>
              <w:rPr>
                <w:sz w:val="18"/>
              </w:rPr>
              <w:t>Enhancement</w:t>
            </w:r>
          </w:p>
        </w:tc>
      </w:tr>
      <w:tr>
        <w:tc>
          <w:tcPr>
            <w:tcW w:type="dxa" w:w="4703"/>
          </w:tcPr>
          <w:p>
            <w:r>
              <w:rPr>
                <w:sz w:val="18"/>
              </w:rPr>
              <w:t>Employee Online Presence</w:t>
            </w:r>
          </w:p>
        </w:tc>
        <w:tc>
          <w:tcPr>
            <w:tcW w:type="dxa" w:w="4703"/>
          </w:tcPr>
          <w:p>
            <w:r>
              <w:rPr>
                <w:sz w:val="18"/>
              </w:rPr>
              <w:t>New Feature</w:t>
            </w:r>
          </w:p>
        </w:tc>
      </w:tr>
      <w:tr>
        <w:tc>
          <w:tcPr>
            <w:tcW w:type="dxa" w:w="4703"/>
          </w:tcPr>
          <w:p>
            <w:r>
              <w:rPr>
                <w:sz w:val="18"/>
              </w:rPr>
              <w:t>Subcontractor IPC Payment Tracking</w:t>
            </w:r>
          </w:p>
        </w:tc>
        <w:tc>
          <w:tcPr>
            <w:tcW w:type="dxa" w:w="4703"/>
          </w:tcPr>
          <w:p>
            <w:r>
              <w:rPr>
                <w:sz w:val="18"/>
              </w:rPr>
              <w:t>Overhaul</w:t>
            </w:r>
          </w:p>
        </w:tc>
      </w:tr>
      <w:tr>
        <w:tc>
          <w:tcPr>
            <w:tcW w:type="dxa" w:w="4703"/>
          </w:tcPr>
          <w:p>
            <w:r>
              <w:rPr>
                <w:sz w:val="18"/>
              </w:rPr>
              <w:t>Contact Tag &amp; Description Enforcement</w:t>
            </w:r>
          </w:p>
        </w:tc>
        <w:tc>
          <w:tcPr>
            <w:tcW w:type="dxa" w:w="4703"/>
          </w:tcPr>
          <w:p>
            <w:r>
              <w:rPr>
                <w:sz w:val="18"/>
              </w:rPr>
              <w:t>Enhancement</w:t>
            </w:r>
          </w:p>
        </w:tc>
      </w:tr>
      <w:tr>
        <w:tc>
          <w:tcPr>
            <w:tcW w:type="dxa" w:w="4703"/>
          </w:tcPr>
          <w:p>
            <w:r>
              <w:rPr>
                <w:sz w:val="18"/>
              </w:rPr>
              <w:t>Cheque Series Management</w:t>
            </w:r>
          </w:p>
        </w:tc>
        <w:tc>
          <w:tcPr>
            <w:tcW w:type="dxa" w:w="4703"/>
          </w:tcPr>
          <w:p>
            <w:r>
              <w:rPr>
                <w:sz w:val="18"/>
              </w:rPr>
              <w:t>New Feature</w:t>
            </w:r>
          </w:p>
        </w:tc>
      </w:tr>
      <w:tr>
        <w:tc>
          <w:tcPr>
            <w:tcW w:type="dxa" w:w="4703"/>
          </w:tcPr>
          <w:p>
            <w:r>
              <w:rPr>
                <w:sz w:val="18"/>
              </w:rPr>
              <w:t>Site User Contact Permissions — Read-Only</w:t>
            </w:r>
          </w:p>
        </w:tc>
        <w:tc>
          <w:tcPr>
            <w:tcW w:type="dxa" w:w="4703"/>
          </w:tcPr>
          <w:p>
            <w:r>
              <w:rPr>
                <w:sz w:val="18"/>
              </w:rPr>
              <w:t>Security</w:t>
            </w:r>
          </w:p>
        </w:tc>
      </w:tr>
    </w:tbl>
    <w:p/>
    <w:p>
      <w:pPr>
        <w:pStyle w:val="Heading1"/>
      </w:pPr>
      <w:r>
        <w:rPr>
          <w:color w:val="1F3864"/>
        </w:rPr>
        <w:t>2. Database Updates</w:t>
      </w:r>
    </w:p>
    <w:p>
      <w:r>
        <w:t>All schema and data changes are applied automatically on module upgrade (</w:t>
      </w:r>
      <w:r>
        <w:rPr>
          <w:rFonts w:ascii="Courier New" w:hAnsi="Courier New"/>
          <w:sz w:val="18"/>
        </w:rPr>
        <w:t>odoo-bin -u site_operations,purchase_demand_raise</w:t>
      </w:r>
      <w:r>
        <w:t>). No manual SQL is required.</w:t>
      </w:r>
    </w:p>
    <w:p>
      <w:pPr>
        <w:pStyle w:val="Heading2"/>
      </w:pPr>
      <w:r>
        <w:rPr>
          <w:color w:val="4A1A6E"/>
        </w:rPr>
        <w:t>New Fields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Model</w:t>
            </w:r>
          </w:p>
        </w:tc>
        <w:tc>
          <w:tcPr>
            <w:tcW w:type="dxa" w:w="2351"/>
            <w:shd w:val="clear" w:color="auto" w:fill="1F3864"/>
          </w:tcPr>
          <w:p>
            <w:r>
              <w:rPr>
                <w:b/>
                <w:color w:val="FFFFFF"/>
              </w:rPr>
              <w:t>Field</w:t>
            </w:r>
          </w:p>
        </w:tc>
        <w:tc>
          <w:tcPr>
            <w:tcW w:type="dxa" w:w="2351"/>
            <w:shd w:val="clear" w:color="auto" w:fill="1F3864"/>
          </w:tcPr>
          <w:p>
            <w:r>
              <w:rPr>
                <w:b/>
                <w:color w:val="FFFFFF"/>
              </w:rPr>
              <w:t>Type</w:t>
            </w:r>
          </w:p>
        </w:tc>
        <w:tc>
          <w:tcPr>
            <w:tcW w:type="dxa" w:w="2351"/>
            <w:shd w:val="clear" w:color="auto" w:fill="1F3864"/>
          </w:tcPr>
          <w:p>
            <w:r>
              <w:rPr>
                <w:b/>
                <w:color w:val="FFFFFF"/>
              </w:rPr>
              <w:t>Purpose</w:t>
            </w:r>
          </w:p>
        </w:tc>
      </w:tr>
      <w:tr>
        <w:tc>
          <w:tcPr>
            <w:tcW w:type="dxa" w:w="2351"/>
          </w:tcPr>
          <w:p>
            <w:r>
              <w:rPr>
                <w:sz w:val="18"/>
              </w:rPr>
              <w:t>account.payment</w:t>
            </w:r>
          </w:p>
        </w:tc>
        <w:tc>
          <w:tcPr>
            <w:tcW w:type="dxa" w:w="2351"/>
          </w:tcPr>
          <w:p>
            <w:r>
              <w:rPr>
                <w:sz w:val="18"/>
              </w:rPr>
              <w:t>x_expense_account_id</w:t>
            </w:r>
          </w:p>
        </w:tc>
        <w:tc>
          <w:tcPr>
            <w:tcW w:type="dxa" w:w="2351"/>
          </w:tcPr>
          <w:p>
            <w:r>
              <w:rPr>
                <w:sz w:val="18"/>
              </w:rPr>
              <w:t>Many2one → account.account</w:t>
            </w:r>
          </w:p>
        </w:tc>
        <w:tc>
          <w:tcPr>
            <w:tcW w:type="dxa" w:w="2351"/>
          </w:tcPr>
          <w:p>
            <w:r>
              <w:rPr>
                <w:sz w:val="18"/>
              </w:rPr>
              <w:t>Payable account override on vendor payments</w:t>
            </w:r>
          </w:p>
        </w:tc>
      </w:tr>
      <w:tr>
        <w:tc>
          <w:tcPr>
            <w:tcW w:type="dxa" w:w="2351"/>
          </w:tcPr>
          <w:p>
            <w:r>
              <w:rPr>
                <w:sz w:val="18"/>
              </w:rPr>
              <w:t>account.payment</w:t>
            </w:r>
          </w:p>
        </w:tc>
        <w:tc>
          <w:tcPr>
            <w:tcW w:type="dxa" w:w="2351"/>
          </w:tcPr>
          <w:p>
            <w:r>
              <w:rPr>
                <w:sz w:val="18"/>
              </w:rPr>
              <w:t>x_destination_project_id</w:t>
            </w:r>
          </w:p>
        </w:tc>
        <w:tc>
          <w:tcPr>
            <w:tcW w:type="dxa" w:w="2351"/>
          </w:tcPr>
          <w:p>
            <w:r>
              <w:rPr>
                <w:sz w:val="18"/>
              </w:rPr>
              <w:t>Many2one → project.project</w:t>
            </w:r>
          </w:p>
        </w:tc>
        <w:tc>
          <w:tcPr>
            <w:tcW w:type="dxa" w:w="2351"/>
          </w:tcPr>
          <w:p>
            <w:r>
              <w:rPr>
                <w:sz w:val="18"/>
              </w:rPr>
              <w:t>Project tagging on payments</w:t>
            </w:r>
          </w:p>
        </w:tc>
      </w:tr>
      <w:tr>
        <w:tc>
          <w:tcPr>
            <w:tcW w:type="dxa" w:w="2351"/>
          </w:tcPr>
          <w:p>
            <w:r>
              <w:rPr>
                <w:sz w:val="18"/>
              </w:rPr>
              <w:t>account.payment</w:t>
            </w:r>
          </w:p>
        </w:tc>
        <w:tc>
          <w:tcPr>
            <w:tcW w:type="dxa" w:w="2351"/>
          </w:tcPr>
          <w:p>
            <w:r>
              <w:rPr>
                <w:sz w:val="18"/>
              </w:rPr>
              <w:t>x_bpv_ref</w:t>
            </w:r>
          </w:p>
        </w:tc>
        <w:tc>
          <w:tcPr>
            <w:tcW w:type="dxa" w:w="2351"/>
          </w:tcPr>
          <w:p>
            <w:r>
              <w:rPr>
                <w:sz w:val="18"/>
              </w:rPr>
              <w:t>Char</w:t>
            </w:r>
          </w:p>
        </w:tc>
        <w:tc>
          <w:tcPr>
            <w:tcW w:type="dxa" w:w="2351"/>
          </w:tcPr>
          <w:p>
            <w:r>
              <w:rPr>
                <w:sz w:val="18"/>
              </w:rPr>
              <w:t>BPV reference number (BPV-YY-MM-XXXXX)</w:t>
            </w:r>
          </w:p>
        </w:tc>
      </w:tr>
      <w:tr>
        <w:tc>
          <w:tcPr>
            <w:tcW w:type="dxa" w:w="2351"/>
          </w:tcPr>
          <w:p>
            <w:r>
              <w:rPr>
                <w:sz w:val="18"/>
              </w:rPr>
              <w:t>account.payment</w:t>
            </w:r>
          </w:p>
        </w:tc>
        <w:tc>
          <w:tcPr>
            <w:tcW w:type="dxa" w:w="2351"/>
          </w:tcPr>
          <w:p>
            <w:r>
              <w:rPr>
                <w:sz w:val="18"/>
              </w:rPr>
              <w:t>x_account_title</w:t>
            </w:r>
          </w:p>
        </w:tc>
        <w:tc>
          <w:tcPr>
            <w:tcW w:type="dxa" w:w="2351"/>
          </w:tcPr>
          <w:p>
            <w:r>
              <w:rPr>
                <w:sz w:val="18"/>
              </w:rPr>
              <w:t>Char</w:t>
            </w:r>
          </w:p>
        </w:tc>
        <w:tc>
          <w:tcPr>
            <w:tcW w:type="dxa" w:w="2351"/>
          </w:tcPr>
          <w:p>
            <w:r>
              <w:rPr>
                <w:sz w:val="18"/>
              </w:rPr>
              <w:t>Account title for cheque</w:t>
            </w:r>
          </w:p>
        </w:tc>
      </w:tr>
      <w:tr>
        <w:tc>
          <w:tcPr>
            <w:tcW w:type="dxa" w:w="2351"/>
          </w:tcPr>
          <w:p>
            <w:r>
              <w:rPr>
                <w:sz w:val="18"/>
              </w:rPr>
              <w:t>account.payment</w:t>
            </w:r>
          </w:p>
        </w:tc>
        <w:tc>
          <w:tcPr>
            <w:tcW w:type="dxa" w:w="2351"/>
          </w:tcPr>
          <w:p>
            <w:r>
              <w:rPr>
                <w:sz w:val="18"/>
              </w:rPr>
              <w:t>x_cheque_number</w:t>
            </w:r>
          </w:p>
        </w:tc>
        <w:tc>
          <w:tcPr>
            <w:tcW w:type="dxa" w:w="2351"/>
          </w:tcPr>
          <w:p>
            <w:r>
              <w:rPr>
                <w:sz w:val="18"/>
              </w:rPr>
              <w:t>Char</w:t>
            </w:r>
          </w:p>
        </w:tc>
        <w:tc>
          <w:tcPr>
            <w:tcW w:type="dxa" w:w="2351"/>
          </w:tcPr>
          <w:p>
            <w:r>
              <w:rPr>
                <w:sz w:val="18"/>
              </w:rPr>
              <w:t>Cheque number</w:t>
            </w:r>
          </w:p>
        </w:tc>
      </w:tr>
      <w:tr>
        <w:tc>
          <w:tcPr>
            <w:tcW w:type="dxa" w:w="2351"/>
          </w:tcPr>
          <w:p>
            <w:r>
              <w:rPr>
                <w:sz w:val="18"/>
              </w:rPr>
              <w:t>account.payment</w:t>
            </w:r>
          </w:p>
        </w:tc>
        <w:tc>
          <w:tcPr>
            <w:tcW w:type="dxa" w:w="2351"/>
          </w:tcPr>
          <w:p>
            <w:r>
              <w:rPr>
                <w:sz w:val="18"/>
              </w:rPr>
              <w:t>x_bank_allocation_ids</w:t>
            </w:r>
          </w:p>
        </w:tc>
        <w:tc>
          <w:tcPr>
            <w:tcW w:type="dxa" w:w="2351"/>
          </w:tcPr>
          <w:p>
            <w:r>
              <w:rPr>
                <w:sz w:val="18"/>
              </w:rPr>
              <w:t>One2many</w:t>
            </w:r>
          </w:p>
        </w:tc>
        <w:tc>
          <w:tcPr>
            <w:tcW w:type="dxa" w:w="2351"/>
          </w:tcPr>
          <w:p>
            <w:r>
              <w:rPr>
                <w:sz w:val="18"/>
              </w:rPr>
              <w:t>Multi-bank split allocations</w:t>
            </w:r>
          </w:p>
        </w:tc>
      </w:tr>
      <w:tr>
        <w:tc>
          <w:tcPr>
            <w:tcW w:type="dxa" w:w="2351"/>
          </w:tcPr>
          <w:p>
            <w:r>
              <w:rPr>
                <w:sz w:val="18"/>
              </w:rPr>
              <w:t>x.petty.cash.expense</w:t>
            </w:r>
          </w:p>
        </w:tc>
        <w:tc>
          <w:tcPr>
            <w:tcW w:type="dxa" w:w="2351"/>
          </w:tcPr>
          <w:p>
            <w:r>
              <w:rPr>
                <w:sz w:val="18"/>
              </w:rPr>
              <w:t>is_subcontractor_advance</w:t>
            </w:r>
          </w:p>
        </w:tc>
        <w:tc>
          <w:tcPr>
            <w:tcW w:type="dxa" w:w="2351"/>
          </w:tcPr>
          <w:p>
            <w:r>
              <w:rPr>
                <w:sz w:val="18"/>
              </w:rPr>
              <w:t>Boolean</w:t>
            </w:r>
          </w:p>
        </w:tc>
        <w:tc>
          <w:tcPr>
            <w:tcW w:type="dxa" w:w="2351"/>
          </w:tcPr>
          <w:p>
            <w:r>
              <w:rPr>
                <w:sz w:val="18"/>
              </w:rPr>
              <w:t>Flags petty cash line as subcontractor advance</w:t>
            </w:r>
          </w:p>
        </w:tc>
      </w:tr>
      <w:tr>
        <w:tc>
          <w:tcPr>
            <w:tcW w:type="dxa" w:w="2351"/>
          </w:tcPr>
          <w:p>
            <w:r>
              <w:rPr>
                <w:sz w:val="18"/>
              </w:rPr>
              <w:t>x.petty.cash.expense</w:t>
            </w:r>
          </w:p>
        </w:tc>
        <w:tc>
          <w:tcPr>
            <w:tcW w:type="dxa" w:w="2351"/>
          </w:tcPr>
          <w:p>
            <w:r>
              <w:rPr>
                <w:sz w:val="18"/>
              </w:rPr>
              <w:t>advance_subcontractor_id</w:t>
            </w:r>
          </w:p>
        </w:tc>
        <w:tc>
          <w:tcPr>
            <w:tcW w:type="dxa" w:w="2351"/>
          </w:tcPr>
          <w:p>
            <w:r>
              <w:rPr>
                <w:sz w:val="18"/>
              </w:rPr>
              <w:t>Many2one → res.partner</w:t>
            </w:r>
          </w:p>
        </w:tc>
        <w:tc>
          <w:tcPr>
            <w:tcW w:type="dxa" w:w="2351"/>
          </w:tcPr>
          <w:p>
            <w:r>
              <w:rPr>
                <w:sz w:val="18"/>
              </w:rPr>
              <w:t>Subcontractor receiving the advance</w:t>
            </w:r>
          </w:p>
        </w:tc>
      </w:tr>
      <w:tr>
        <w:tc>
          <w:tcPr>
            <w:tcW w:type="dxa" w:w="2351"/>
          </w:tcPr>
          <w:p>
            <w:r>
              <w:rPr>
                <w:sz w:val="18"/>
              </w:rPr>
              <w:t>x.subcontractor.ipc</w:t>
            </w:r>
          </w:p>
        </w:tc>
        <w:tc>
          <w:tcPr>
            <w:tcW w:type="dxa" w:w="2351"/>
          </w:tcPr>
          <w:p>
            <w:r>
              <w:rPr>
                <w:sz w:val="18"/>
              </w:rPr>
              <w:t>payments_till_prev_ipc</w:t>
            </w:r>
          </w:p>
        </w:tc>
        <w:tc>
          <w:tcPr>
            <w:tcW w:type="dxa" w:w="2351"/>
          </w:tcPr>
          <w:p>
            <w:r>
              <w:rPr>
                <w:sz w:val="18"/>
              </w:rPr>
              <w:t>Float (computed)</w:t>
            </w:r>
          </w:p>
        </w:tc>
        <w:tc>
          <w:tcPr>
            <w:tcW w:type="dxa" w:w="2351"/>
          </w:tcPr>
          <w:p>
            <w:r>
              <w:rPr>
                <w:sz w:val="18"/>
              </w:rPr>
              <w:t>Cumulative payments up to prior IPC date</w:t>
            </w:r>
          </w:p>
        </w:tc>
      </w:tr>
      <w:tr>
        <w:tc>
          <w:tcPr>
            <w:tcW w:type="dxa" w:w="2351"/>
          </w:tcPr>
          <w:p>
            <w:r>
              <w:rPr>
                <w:sz w:val="18"/>
              </w:rPr>
              <w:t>x.subcontractor.ipc</w:t>
            </w:r>
          </w:p>
        </w:tc>
        <w:tc>
          <w:tcPr>
            <w:tcW w:type="dxa" w:w="2351"/>
          </w:tcPr>
          <w:p>
            <w:r>
              <w:rPr>
                <w:sz w:val="18"/>
              </w:rPr>
              <w:t>payments_till_this_ipc</w:t>
            </w:r>
          </w:p>
        </w:tc>
        <w:tc>
          <w:tcPr>
            <w:tcW w:type="dxa" w:w="2351"/>
          </w:tcPr>
          <w:p>
            <w:r>
              <w:rPr>
                <w:sz w:val="18"/>
              </w:rPr>
              <w:t>Float (computed)</w:t>
            </w:r>
          </w:p>
        </w:tc>
        <w:tc>
          <w:tcPr>
            <w:tcW w:type="dxa" w:w="2351"/>
          </w:tcPr>
          <w:p>
            <w:r>
              <w:rPr>
                <w:sz w:val="18"/>
              </w:rPr>
              <w:t>Cumulative payments up to this IPC date</w:t>
            </w:r>
          </w:p>
        </w:tc>
      </w:tr>
      <w:tr>
        <w:tc>
          <w:tcPr>
            <w:tcW w:type="dxa" w:w="2351"/>
          </w:tcPr>
          <w:p>
            <w:r>
              <w:rPr>
                <w:sz w:val="18"/>
              </w:rPr>
              <w:t>x.subcontractor.ipc</w:t>
            </w:r>
          </w:p>
        </w:tc>
        <w:tc>
          <w:tcPr>
            <w:tcW w:type="dxa" w:w="2351"/>
          </w:tcPr>
          <w:p>
            <w:r>
              <w:rPr>
                <w:sz w:val="18"/>
              </w:rPr>
              <w:t>payments_this_period</w:t>
            </w:r>
          </w:p>
        </w:tc>
        <w:tc>
          <w:tcPr>
            <w:tcW w:type="dxa" w:w="2351"/>
          </w:tcPr>
          <w:p>
            <w:r>
              <w:rPr>
                <w:sz w:val="18"/>
              </w:rPr>
              <w:t>Float (computed)</w:t>
            </w:r>
          </w:p>
        </w:tc>
        <w:tc>
          <w:tcPr>
            <w:tcW w:type="dxa" w:w="2351"/>
          </w:tcPr>
          <w:p>
            <w:r>
              <w:rPr>
                <w:sz w:val="18"/>
              </w:rPr>
              <w:t>Period payment (auto-fills Payment Recovery)</w:t>
            </w:r>
          </w:p>
        </w:tc>
      </w:tr>
      <w:tr>
        <w:tc>
          <w:tcPr>
            <w:tcW w:type="dxa" w:w="2351"/>
          </w:tcPr>
          <w:p>
            <w:r>
              <w:rPr>
                <w:sz w:val="18"/>
              </w:rPr>
              <w:t>hr.employee</w:t>
            </w:r>
          </w:p>
        </w:tc>
        <w:tc>
          <w:tcPr>
            <w:tcW w:type="dxa" w:w="2351"/>
          </w:tcPr>
          <w:p>
            <w:r>
              <w:rPr>
                <w:sz w:val="18"/>
              </w:rPr>
              <w:t>x_last_online</w:t>
            </w:r>
          </w:p>
        </w:tc>
        <w:tc>
          <w:tcPr>
            <w:tcW w:type="dxa" w:w="2351"/>
          </w:tcPr>
          <w:p>
            <w:r>
              <w:rPr>
                <w:sz w:val="18"/>
              </w:rPr>
              <w:t>Datetime (computed)</w:t>
            </w:r>
          </w:p>
        </w:tc>
        <w:tc>
          <w:tcPr>
            <w:tcW w:type="dxa" w:w="2351"/>
          </w:tcPr>
          <w:p>
            <w:r>
              <w:rPr>
                <w:sz w:val="18"/>
              </w:rPr>
              <w:t>Last heartbeat from mail.presence</w:t>
            </w:r>
          </w:p>
        </w:tc>
      </w:tr>
      <w:tr>
        <w:tc>
          <w:tcPr>
            <w:tcW w:type="dxa" w:w="2351"/>
          </w:tcPr>
          <w:p>
            <w:r>
              <w:rPr>
                <w:sz w:val="18"/>
              </w:rPr>
              <w:t>hr.employee</w:t>
            </w:r>
          </w:p>
        </w:tc>
        <w:tc>
          <w:tcPr>
            <w:tcW w:type="dxa" w:w="2351"/>
          </w:tcPr>
          <w:p>
            <w:r>
              <w:rPr>
                <w:sz w:val="18"/>
              </w:rPr>
              <w:t>x_is_currently_online</w:t>
            </w:r>
          </w:p>
        </w:tc>
        <w:tc>
          <w:tcPr>
            <w:tcW w:type="dxa" w:w="2351"/>
          </w:tcPr>
          <w:p>
            <w:r>
              <w:rPr>
                <w:sz w:val="18"/>
              </w:rPr>
              <w:t>Boolean (computed)</w:t>
            </w:r>
          </w:p>
        </w:tc>
        <w:tc>
          <w:tcPr>
            <w:tcW w:type="dxa" w:w="2351"/>
          </w:tcPr>
          <w:p>
            <w:r>
              <w:rPr>
                <w:sz w:val="18"/>
              </w:rPr>
              <w:t>True when heartbeat ≤ 65 seconds ago</w:t>
            </w:r>
          </w:p>
        </w:tc>
      </w:tr>
      <w:tr>
        <w:tc>
          <w:tcPr>
            <w:tcW w:type="dxa" w:w="2351"/>
          </w:tcPr>
          <w:p>
            <w:r>
              <w:rPr>
                <w:sz w:val="18"/>
              </w:rPr>
              <w:t>x.employee.presence.log</w:t>
            </w:r>
          </w:p>
        </w:tc>
        <w:tc>
          <w:tcPr>
            <w:tcW w:type="dxa" w:w="2351"/>
          </w:tcPr>
          <w:p>
            <w:r>
              <w:rPr>
                <w:sz w:val="18"/>
              </w:rPr>
              <w:t>(new model)</w:t>
            </w:r>
          </w:p>
        </w:tc>
        <w:tc>
          <w:tcPr>
            <w:tcW w:type="dxa" w:w="2351"/>
          </w:tcPr>
          <w:p>
            <w:r>
              <w:rPr>
                <w:sz w:val="18"/>
              </w:rPr>
              <w:t>—</w:t>
            </w:r>
          </w:p>
        </w:tc>
        <w:tc>
          <w:tcPr>
            <w:tcW w:type="dxa" w:w="2351"/>
          </w:tcPr>
          <w:p>
            <w:r>
              <w:rPr>
                <w:sz w:val="18"/>
              </w:rPr>
              <w:t>Audit log of Online/Offline transitions</w:t>
            </w:r>
          </w:p>
        </w:tc>
      </w:tr>
    </w:tbl>
    <w:p/>
    <w:p>
      <w:pPr>
        <w:pStyle w:val="Heading2"/>
      </w:pPr>
      <w:r>
        <w:rPr>
          <w:color w:val="4A1A6E"/>
        </w:rPr>
        <w:t>New Models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b/>
                <w:color w:val="FFFFFF"/>
              </w:rPr>
              <w:t>Model</w:t>
            </w:r>
          </w:p>
        </w:tc>
        <w:tc>
          <w:tcPr>
            <w:tcW w:type="dxa" w:w="4703"/>
            <w:shd w:val="clear" w:color="auto" w:fill="1F3864"/>
          </w:tcPr>
          <w:p>
            <w:r>
              <w:rPr>
                <w:b/>
                <w:color w:val="FFFFFF"/>
              </w:rPr>
              <w:t>Description</w:t>
            </w:r>
          </w:p>
        </w:tc>
      </w:tr>
      <w:tr>
        <w:tc>
          <w:tcPr>
            <w:tcW w:type="dxa" w:w="4703"/>
          </w:tcPr>
          <w:p>
            <w:r>
              <w:rPr>
                <w:sz w:val="18"/>
              </w:rPr>
              <w:t>x.batch.payment</w:t>
            </w:r>
          </w:p>
        </w:tc>
        <w:tc>
          <w:tcPr>
            <w:tcW w:type="dxa" w:w="4703"/>
          </w:tcPr>
          <w:p>
            <w:r>
              <w:rPr>
                <w:sz w:val="18"/>
              </w:rPr>
              <w:t>Batch vendor payment header (multi-vendor, multi-bank)</w:t>
            </w:r>
          </w:p>
        </w:tc>
      </w:tr>
      <w:tr>
        <w:tc>
          <w:tcPr>
            <w:tcW w:type="dxa" w:w="4703"/>
          </w:tcPr>
          <w:p>
            <w:r>
              <w:rPr>
                <w:sz w:val="18"/>
              </w:rPr>
              <w:t>x.batch.payment.line</w:t>
            </w:r>
          </w:p>
        </w:tc>
        <w:tc>
          <w:tcPr>
            <w:tcW w:type="dxa" w:w="4703"/>
          </w:tcPr>
          <w:p>
            <w:r>
              <w:rPr>
                <w:sz w:val="18"/>
              </w:rPr>
              <w:t>Per-vendor line within a batch payment</w:t>
            </w:r>
          </w:p>
        </w:tc>
      </w:tr>
      <w:tr>
        <w:tc>
          <w:tcPr>
            <w:tcW w:type="dxa" w:w="4703"/>
          </w:tcPr>
          <w:p>
            <w:r>
              <w:rPr>
                <w:sz w:val="18"/>
              </w:rPr>
              <w:t>x.bank.allocation</w:t>
            </w:r>
          </w:p>
        </w:tc>
        <w:tc>
          <w:tcPr>
            <w:tcW w:type="dxa" w:w="4703"/>
          </w:tcPr>
          <w:p>
            <w:r>
              <w:rPr>
                <w:sz w:val="18"/>
              </w:rPr>
              <w:t>Per-bank split within a single payment</w:t>
            </w:r>
          </w:p>
        </w:tc>
      </w:tr>
      <w:tr>
        <w:tc>
          <w:tcPr>
            <w:tcW w:type="dxa" w:w="4703"/>
          </w:tcPr>
          <w:p>
            <w:r>
              <w:rPr>
                <w:sz w:val="18"/>
              </w:rPr>
              <w:t>x.employee.presence.log</w:t>
            </w:r>
          </w:p>
        </w:tc>
        <w:tc>
          <w:tcPr>
            <w:tcW w:type="dxa" w:w="4703"/>
          </w:tcPr>
          <w:p>
            <w:r>
              <w:rPr>
                <w:sz w:val="18"/>
              </w:rPr>
              <w:t>Employee online/offline history log</w:t>
            </w:r>
          </w:p>
        </w:tc>
      </w:tr>
      <w:tr>
        <w:tc>
          <w:tcPr>
            <w:tcW w:type="dxa" w:w="4703"/>
          </w:tcPr>
          <w:p>
            <w:r>
              <w:rPr>
                <w:sz w:val="18"/>
              </w:rPr>
              <w:t>x.petty.cash.admin.wizard</w:t>
            </w:r>
          </w:p>
        </w:tc>
        <w:tc>
          <w:tcPr>
            <w:tcW w:type="dxa" w:w="4703"/>
          </w:tcPr>
          <w:p>
            <w:r>
              <w:rPr>
                <w:sz w:val="18"/>
              </w:rPr>
              <w:t>Transient wizard for admin petty cash fix</w:t>
            </w:r>
          </w:p>
        </w:tc>
      </w:tr>
    </w:tbl>
    <w:p/>
    <w:p>
      <w:pPr>
        <w:pStyle w:val="Heading2"/>
      </w:pPr>
      <w:r>
        <w:rPr>
          <w:color w:val="4A1A6E"/>
        </w:rPr>
        <w:t>Post-Migrate Hook</w:t>
      </w:r>
    </w:p>
    <w:p>
      <w:r>
        <w:rPr>
          <w:rFonts w:ascii="Courier New" w:hAnsi="Courier New"/>
          <w:sz w:val="18"/>
        </w:rPr>
        <w:t>post_migrate_hook</w:t>
      </w:r>
    </w:p>
    <w:p>
      <w:r>
        <w:t xml:space="preserve"> in hooks.py runs </w:t>
      </w:r>
      <w:r>
        <w:rPr>
          <w:rFonts w:ascii="Courier New" w:hAnsi="Courier New"/>
          <w:sz w:val="18"/>
        </w:rPr>
        <w:t>fix_petty_cash_expense_accounts()</w:t>
      </w:r>
      <w:r>
        <w:t xml:space="preserve"> automatically on upgrade:</w:t>
      </w:r>
    </w:p>
    <w:p>
      <w:pPr>
        <w:pStyle w:val="ListBullet"/>
      </w:pPr>
      <w:r>
        <w:t>Step 1: Fills x_petty_cash_account_id on all expense lines where it is NULL</w:t>
      </w:r>
    </w:p>
    <w:p>
      <w:pPr>
        <w:pStyle w:val="ListBullet"/>
      </w:pPr>
      <w:r>
        <w:t>Step 2: Creates missing journal entries for posted expenses with no linked JE</w:t>
      </w:r>
    </w:p>
    <w:p>
      <w:pPr>
        <w:pStyle w:val="ListBullet"/>
      </w:pPr>
      <w:r>
        <w:t>Step 3: Dates historical JEs to the original expense_date (not today)</w:t>
      </w:r>
    </w:p>
    <w:p/>
    <w:p>
      <w:pPr>
        <w:pStyle w:val="Heading1"/>
      </w:pPr>
      <w:r>
        <w:rPr>
          <w:color w:val="1F3864"/>
        </w:rPr>
        <w:t>3. Module Adjustments</w:t>
      </w:r>
    </w:p>
    <w:p>
      <w:pPr>
        <w:pStyle w:val="Heading2"/>
      </w:pPr>
      <w:r>
        <w:rPr>
          <w:color w:val="4A1A6E"/>
        </w:rPr>
        <w:t>purchase_demand_raise</w:t>
      </w:r>
    </w:p>
    <w:p>
      <w:pPr>
        <w:pStyle w:val="ListBullet"/>
      </w:pPr>
      <w:r>
        <w:t>security/ir.model.access.csv: res.partner for group_site_store — perm_write and perm_create changed from 1 → 0</w:t>
      </w:r>
    </w:p>
    <w:p>
      <w:pPr>
        <w:pStyle w:val="ListBullet"/>
      </w:pPr>
      <w:r>
        <w:t>Paper format paperformat_matracon_po: margin_top=4mm, margin_bottom=4mm, DPI=96</w:t>
      </w:r>
    </w:p>
    <w:p>
      <w:pPr>
        <w:pStyle w:val="ListBullet"/>
      </w:pPr>
      <w:r>
        <w:t>PO report template rewritten: standalone matracon_po_layout with proper header/article/footer separation</w:t>
      </w:r>
    </w:p>
    <w:p>
      <w:pPr>
        <w:pStyle w:val="ListBullet"/>
      </w:pPr>
      <w:r>
        <w:t>RFQ report template rewritten: shares matracon_po_layout</w:t>
      </w:r>
    </w:p>
    <w:p>
      <w:pPr>
        <w:pStyle w:val="ListBullet"/>
      </w:pPr>
      <w:r>
        <w:t>PR cancel/delete logic: button_cancel() and _unlink_if_cancelled() overridden</w:t>
      </w:r>
    </w:p>
    <w:p>
      <w:pPr>
        <w:pStyle w:val="ListBullet"/>
      </w:pPr>
      <w:r>
        <w:t>T&amp;C template field: now full-width (colspan=2) in PO form view</w:t>
      </w:r>
    </w:p>
    <w:p>
      <w:pPr>
        <w:pStyle w:val="Heading2"/>
      </w:pPr>
      <w:r>
        <w:rPr>
          <w:color w:val="4A1A6E"/>
        </w:rPr>
        <w:t>site_operations</w:t>
      </w:r>
    </w:p>
    <w:p>
      <w:pPr>
        <w:pStyle w:val="ListBullet"/>
      </w:pPr>
      <w:r>
        <w:t>security/ir.model.access.csv: res.partner for group_site_accountant — perm_write and perm_create changed from 1 → 0</w:t>
      </w:r>
    </w:p>
    <w:p>
      <w:pPr>
        <w:pStyle w:val="ListBullet"/>
      </w:pPr>
      <w:r>
        <w:t>New models registered in __manifest__.py: x.batch.payment, x.batch.payment.line, x.bank.allocation, x.employee.presence.log, x.petty.cash.admin.wizard</w:t>
      </w:r>
    </w:p>
    <w:p>
      <w:pPr>
        <w:pStyle w:val="ListBullet"/>
      </w:pPr>
      <w:r>
        <w:t>New views: batch payment form/list, BPV PDF, employee presence history tab, petty cash admin wizard</w:t>
      </w:r>
    </w:p>
    <w:p>
      <w:pPr>
        <w:pStyle w:val="ListBullet"/>
      </w:pPr>
      <w:r>
        <w:t>New menus: Accounting → Vendors → Batch Payments; Petty Cash → Configuration → Fix Petty Cash Accounts</w:t>
      </w:r>
    </w:p>
    <w:p>
      <w:pPr>
        <w:pStyle w:val="ListBullet"/>
      </w:pPr>
      <w:r>
        <w:t>mail.presence extended: create() and write() hooked to log Online/Offline transitions</w:t>
      </w:r>
    </w:p>
    <w:p>
      <w:pPr>
        <w:pStyle w:val="ListBullet"/>
      </w:pPr>
      <w:r>
        <w:t>account_payment._prepare_move_line_default_vals() extended: enforces petty cash GL account and expense account override</w:t>
      </w:r>
    </w:p>
    <w:p>
      <w:pPr>
        <w:pStyle w:val="ListBullet"/>
      </w:pPr>
      <w:r>
        <w:t>subcontractor_ipc._compute_payments_made(): now reads account.payment directly (state IN in_process, paid)</w:t>
      </w:r>
    </w:p>
    <w:p>
      <w:pPr>
        <w:pStyle w:val="ListBullet"/>
      </w:pPr>
      <w:r>
        <w:t>Accounting → Customers → Payments menu renamed to Receipts</w:t>
      </w:r>
    </w:p>
    <w:p/>
    <w:p>
      <w:pPr>
        <w:pStyle w:val="Heading1"/>
      </w:pPr>
      <w:r>
        <w:rPr>
          <w:color w:val="1F3864"/>
        </w:rPr>
        <w:t>4. Processes Changed / Added</w:t>
      </w:r>
    </w:p>
    <w:p>
      <w:pPr>
        <w:pStyle w:val="Heading2"/>
      </w:pPr>
      <w:r>
        <w:rPr>
          <w:color w:val="4A1A6E"/>
        </w:rPr>
        <w:t>4.1  Batch Vendor Payment</w:t>
      </w:r>
    </w:p>
    <w:p>
      <w:r>
        <w:rPr>
          <w:b/>
          <w:color w:val="FFFFFF"/>
        </w:rPr>
        <w:t xml:space="preserve">[NEW]  </w:t>
      </w:r>
    </w:p>
    <w:p>
      <w:r/>
      <w:r>
        <w:rPr>
          <w:b/>
        </w:rPr>
        <w:t>What it does:</w:t>
      </w:r>
      <w:r>
        <w:t xml:space="preserve"> Finance HO can now pay multiple vendors in a single operation, generating one consolidated journal entry and one Bank Payment Voucher PDF.</w:t>
      </w:r>
    </w:p>
    <w:p>
      <w:pPr>
        <w:pStyle w:val="ListBullet"/>
      </w:pPr>
      <w:r>
        <w:t>Finance HO goes to Accounting → Vendors → Payments → New → opens Batch Payment form</w:t>
      </w:r>
    </w:p>
    <w:p>
      <w:pPr>
        <w:pStyle w:val="ListBullet"/>
      </w:pPr>
      <w:r>
        <w:t>Selects Project (propagates to all lines), Payment Date, Bank Journal</w:t>
      </w:r>
    </w:p>
    <w:p>
      <w:pPr>
        <w:pStyle w:val="ListBullet"/>
      </w:pPr>
      <w:r>
        <w:t>Adds vendor lines — each line carries: Vendor, Amount, Memo, WHT, Cheque number, Account Title, and optional Fund Allocation</w:t>
      </w:r>
    </w:p>
    <w:p>
      <w:pPr>
        <w:pStyle w:val="ListBullet"/>
      </w:pPr>
      <w:r>
        <w:t>Clicks Post → system creates a multi-debit/multi-credit JE and auto-generates BPV reference (BPV-YY-MM-XXXXX)</w:t>
      </w:r>
    </w:p>
    <w:p>
      <w:pPr>
        <w:pStyle w:val="ListBullet"/>
      </w:pPr>
      <w:r>
        <w:t>BPV PDF can be printed directly from the batch payment form</w:t>
      </w:r>
    </w:p>
    <w:p>
      <w:pPr>
        <w:pStyle w:val="Heading2"/>
      </w:pPr>
      <w:r>
        <w:rPr>
          <w:color w:val="4A1A6E"/>
        </w:rPr>
        <w:t>4.2  PR Cancel &amp; Delete</w:t>
      </w:r>
    </w:p>
    <w:p>
      <w:r>
        <w:rPr>
          <w:b/>
          <w:color w:val="FFFFFF"/>
        </w:rPr>
        <w:t xml:space="preserve">[ENHANCED]  </w:t>
      </w:r>
    </w:p>
    <w:p>
      <w:r/>
      <w:r>
        <w:rPr>
          <w:b/>
        </w:rPr>
        <w:t>What changed:</w:t>
      </w:r>
      <w:r>
        <w:t xml:space="preserve"> PRs in submitted or rejected state could not be cancelled, and rejected PRs could not be deleted.</w:t>
      </w:r>
    </w:p>
    <w:p>
      <w:pPr>
        <w:pStyle w:val="ListBullet"/>
      </w:pPr>
      <w:r>
        <w:t>A PR in Submitted or Rejected state can now be cancelled using the Cancel button</w:t>
      </w:r>
    </w:p>
    <w:p>
      <w:pPr>
        <w:pStyle w:val="ListBullet"/>
      </w:pPr>
      <w:r>
        <w:t>A PR in Cancelled or Rejected state can now be deleted directly from the list or form view</w:t>
      </w:r>
    </w:p>
    <w:p>
      <w:pPr>
        <w:pStyle w:val="ListBullet"/>
      </w:pPr>
      <w:r>
        <w:t>Cancellation logs a chatter note: "PR cancelled by [User]"</w:t>
      </w:r>
    </w:p>
    <w:p>
      <w:pPr>
        <w:pStyle w:val="Heading2"/>
      </w:pPr>
      <w:r>
        <w:rPr>
          <w:color w:val="4A1A6E"/>
        </w:rPr>
        <w:t>4.3  Petty Cash Release — GL Account Fix</w:t>
      </w:r>
    </w:p>
    <w:p>
      <w:r>
        <w:rPr>
          <w:b/>
          <w:color w:val="FFFFFF"/>
        </w:rPr>
        <w:t xml:space="preserve">[BUG FIX]  </w:t>
      </w:r>
    </w:p>
    <w:p>
      <w:r/>
      <w:r>
        <w:rPr>
          <w:b/>
        </w:rPr>
        <w:t>Root cause:</w:t>
      </w:r>
      <w:r>
        <w:t xml:space="preserve"> destination_account_id (computed stored field) was recalculated back to the AP account on every Finance HO edit, so the GL never debited Cash-in-Hand.</w:t>
      </w:r>
    </w:p>
    <w:p>
      <w:r/>
      <w:r>
        <w:rPr>
          <w:b/>
        </w:rPr>
        <w:t>Fix:</w:t>
      </w:r>
      <w:r>
        <w:t xml:space="preserve"> _prepare_move_line_default_vals() now enforces the site Cash-in-Hand account at JE creation time.</w:t>
      </w:r>
    </w:p>
    <w:p>
      <w:r/>
      <w:r>
        <w:rPr>
          <w:b/>
        </w:rPr>
        <w:t>One-time fix:</w:t>
      </w:r>
      <w:r>
        <w:t xml:space="preserve"> A "Fix GL Entry" button is available on released/confirmed PCRs for Finance HO and Matracon Admin.</w:t>
      </w:r>
    </w:p>
    <w:p>
      <w:pPr>
        <w:pStyle w:val="Heading2"/>
      </w:pPr>
      <w:r>
        <w:rPr>
          <w:color w:val="4A1A6E"/>
        </w:rPr>
        <w:t>4.4  Subcontractor IPC — Payment Tracking</w:t>
      </w:r>
    </w:p>
    <w:p>
      <w:r>
        <w:rPr>
          <w:b/>
          <w:color w:val="FFFFFF"/>
        </w:rPr>
        <w:t xml:space="preserve">[OVERHAUL]  </w:t>
      </w:r>
    </w:p>
    <w:p>
      <w:r/>
      <w:r>
        <w:rPr>
          <w:b/>
        </w:rPr>
        <w:t>What changed:</w:t>
      </w:r>
      <w:r>
        <w:t xml:space="preserve"> IPC "Payments Made" previously read from x.subcontractor.ho.advance. It now reads actual posted payments from account.payment directly.</w:t>
      </w:r>
    </w:p>
    <w:p>
      <w:pPr>
        <w:pStyle w:val="ListBullet"/>
      </w:pPr>
      <w:r>
        <w:t>Counts outbound payments (state: in_process or paid) to the subcontractor on the project</w:t>
      </w:r>
    </w:p>
    <w:p>
      <w:pPr>
        <w:pStyle w:val="ListBullet"/>
      </w:pPr>
      <w:r>
        <w:t>Also counts petty cash subcontractor advances (is_subcontractor_advance=True, state=posted)</w:t>
      </w:r>
    </w:p>
    <w:p>
      <w:pPr>
        <w:pStyle w:val="ListBullet"/>
      </w:pPr>
      <w:r>
        <w:t>payments_this_period auto-fills "Payment Recovery" in IPC deductions</w:t>
      </w:r>
    </w:p>
    <w:p>
      <w:pPr>
        <w:pStyle w:val="ListBullet"/>
      </w:pPr>
      <w:r>
        <w:t>HO Advances menu renamed to HO Advances (Legacy), restricted to Matracon Admin only</w:t>
      </w:r>
    </w:p>
    <w:p>
      <w:pPr>
        <w:pStyle w:val="Heading2"/>
      </w:pPr>
      <w:r>
        <w:rPr>
          <w:color w:val="4A1A6E"/>
        </w:rPr>
        <w:t>4.5  Material Issuance — 3rd Party &amp; SA Review</w:t>
      </w:r>
    </w:p>
    <w:p>
      <w:r>
        <w:rPr>
          <w:b/>
          <w:color w:val="FFFFFF"/>
        </w:rPr>
        <w:t xml:space="preserve">[ENHANCED]  </w:t>
      </w:r>
    </w:p>
    <w:p>
      <w:pPr>
        <w:pStyle w:val="ListBullet"/>
      </w:pPr>
      <w:r>
        <w:t>New issue type: 3rd Party (issues materials to an external party)</w:t>
      </w:r>
    </w:p>
    <w:p>
      <w:pPr>
        <w:pStyle w:val="ListBullet"/>
      </w:pPr>
      <w:r>
        <w:t>All issue types now route to the Production stock location</w:t>
      </w:r>
    </w:p>
    <w:p>
      <w:pPr>
        <w:pStyle w:val="ListBullet"/>
      </w:pPr>
      <w:r>
        <w:t>Site Accountant review workflow added before final posting</w:t>
      </w:r>
    </w:p>
    <w:p>
      <w:pPr>
        <w:pStyle w:val="ListBullet"/>
      </w:pPr>
      <w:r>
        <w:t>Employee search enhanced: searchable by department, phone, and email</w:t>
      </w:r>
    </w:p>
    <w:p>
      <w:pPr>
        <w:pStyle w:val="Heading2"/>
      </w:pPr>
      <w:r>
        <w:rPr>
          <w:color w:val="4A1A6E"/>
        </w:rPr>
        <w:t>4.6  Cheque Series Management</w:t>
      </w:r>
    </w:p>
    <w:p>
      <w:r>
        <w:rPr>
          <w:b/>
          <w:color w:val="FFFFFF"/>
        </w:rPr>
        <w:t xml:space="preserve">[NEW]  </w:t>
      </w:r>
    </w:p>
    <w:p>
      <w:pPr>
        <w:pStyle w:val="ListBullet"/>
      </w:pPr>
      <w:r>
        <w:t>Cheque series defined per journal; system auto-increments after each payment</w:t>
      </w:r>
    </w:p>
    <w:p>
      <w:pPr>
        <w:pStyle w:val="ListBullet"/>
      </w:pPr>
      <w:r>
        <w:t>Default payment method on outbound payments set to Checks</w:t>
      </w:r>
    </w:p>
    <w:p>
      <w:pPr>
        <w:pStyle w:val="ListBullet"/>
      </w:pPr>
      <w:r>
        <w:t>Leading zeros preserved (e.g., 000142 stays 000142)</w:t>
      </w:r>
    </w:p>
    <w:p>
      <w:pPr>
        <w:pStyle w:val="ListBullet"/>
      </w:pPr>
      <w:r>
        <w:t>Manual cheque number entry allowed without requiring an active series</w:t>
      </w:r>
    </w:p>
    <w:p>
      <w:pPr>
        <w:pStyle w:val="Heading2"/>
      </w:pPr>
      <w:r>
        <w:rPr>
          <w:color w:val="4A1A6E"/>
        </w:rPr>
        <w:t>4.7  Site User Contact Permissions — Read-Only</w:t>
      </w:r>
    </w:p>
    <w:p>
      <w:r>
        <w:rPr>
          <w:b/>
          <w:color w:val="FFFFFF"/>
        </w:rPr>
        <w:t xml:space="preserve">[SECURITY]  </w:t>
      </w:r>
    </w:p>
    <w:p>
      <w:r/>
      <w:r>
        <w:rPr>
          <w:b/>
        </w:rPr>
        <w:t>What changed:</w:t>
      </w:r>
      <w:r>
        <w:t xml:space="preserve"> Site Store Keepers and Site Accountants previously had full create and edit access to res.partner, allowing them to create new vendors/clients/employees from any form.</w:t>
      </w:r>
    </w:p>
    <w:p>
      <w:pPr>
        <w:pStyle w:val="ListBullet"/>
      </w:pPr>
      <w:r>
        <w:t>Both group_site_store and group_site_accountant now have read-only access to res.partner</w:t>
      </w:r>
    </w:p>
    <w:p>
      <w:pPr>
        <w:pStyle w:val="ListBullet"/>
      </w:pPr>
      <w:r>
        <w:t>"Create and edit…" and "Create" quick-create options are suppressed in all partner dropdowns</w:t>
      </w:r>
    </w:p>
    <w:p>
      <w:pPr>
        <w:pStyle w:val="ListBullet"/>
      </w:pPr>
      <w:r>
        <w:t>Existing contacts can still be searched and selected</w:t>
      </w:r>
    </w:p>
    <w:p>
      <w:pPr>
        <w:pStyle w:val="ListBullet"/>
      </w:pPr>
      <w:r>
        <w:t>Contact creation and editing restricted to: Procurement HO, Finance HO, Head Office, Matracon Admin</w:t>
      </w:r>
    </w:p>
    <w:p>
      <w:pPr>
        <w:pStyle w:val="Heading2"/>
      </w:pPr>
      <w:r>
        <w:rPr>
          <w:color w:val="4A1A6E"/>
        </w:rPr>
        <w:t>4.8  Contact Tag &amp; Description Enforcement</w:t>
      </w:r>
    </w:p>
    <w:p>
      <w:r>
        <w:rPr>
          <w:b/>
          <w:color w:val="FFFFFF"/>
        </w:rPr>
        <w:t xml:space="preserve">[ENHANCED]  </w:t>
      </w:r>
    </w:p>
    <w:p>
      <w:r>
        <w:t>All contacts (vendors, customers, employees) now require at least one Tag (Category) and a Description. Enforced at save time for all users.</w:t>
      </w:r>
    </w:p>
    <w:p/>
    <w:p>
      <w:pPr>
        <w:pStyle w:val="Heading1"/>
      </w:pPr>
      <w:r>
        <w:rPr>
          <w:color w:val="1F3864"/>
        </w:rPr>
        <w:t>5. UX Changes / Additions</w:t>
      </w:r>
    </w:p>
    <w:p>
      <w:pPr>
        <w:pStyle w:val="Heading2"/>
      </w:pPr>
      <w:r>
        <w:rPr>
          <w:color w:val="4A1A6E"/>
        </w:rPr>
        <w:t>5.1  PO &amp; RFQ PDF — Letterhead Redesign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b/>
                <w:color w:val="FFFFFF"/>
              </w:rPr>
              <w:t>Before</w:t>
            </w:r>
          </w:p>
        </w:tc>
        <w:tc>
          <w:tcPr>
            <w:tcW w:type="dxa" w:w="4703"/>
            <w:shd w:val="clear" w:color="auto" w:fill="1F3864"/>
          </w:tcPr>
          <w:p>
            <w:r>
              <w:rPr>
                <w:b/>
                <w:color w:val="FFFFFF"/>
              </w:rPr>
              <w:t>After</w:t>
            </w:r>
          </w:p>
        </w:tc>
      </w:tr>
      <w:tr>
        <w:tc>
          <w:tcPr>
            <w:tcW w:type="dxa" w:w="4703"/>
          </w:tcPr>
          <w:p>
            <w:r>
              <w:rPr>
                <w:sz w:val="18"/>
              </w:rPr>
              <w:t>Odoo default layout, small logo</w:t>
            </w:r>
          </w:p>
        </w:tc>
        <w:tc>
          <w:tcPr>
            <w:tcW w:type="dxa" w:w="4703"/>
          </w:tcPr>
          <w:p>
            <w:r>
              <w:rPr>
                <w:sz w:val="18"/>
              </w:rPr>
              <w:t>Custom letterhead: large logo (left) + bold company name (right)</w:t>
            </w:r>
          </w:p>
        </w:tc>
      </w:tr>
      <w:tr>
        <w:tc>
          <w:tcPr>
            <w:tcW w:type="dxa" w:w="4703"/>
          </w:tcPr>
          <w:p>
            <w:r>
              <w:rPr>
                <w:sz w:val="18"/>
              </w:rPr>
              <w:t>No repeating header</w:t>
            </w:r>
          </w:p>
        </w:tc>
        <w:tc>
          <w:tcPr>
            <w:tcW w:type="dxa" w:w="4703"/>
          </w:tcPr>
          <w:p>
            <w:r>
              <w:rPr>
                <w:sz w:val="18"/>
              </w:rPr>
              <w:t>Logo + company name + divider + PO ref + date repeats on every page</w:t>
            </w:r>
          </w:p>
        </w:tc>
      </w:tr>
      <w:tr>
        <w:tc>
          <w:tcPr>
            <w:tcW w:type="dxa" w:w="4703"/>
          </w:tcPr>
          <w:p>
            <w:r>
              <w:rPr>
                <w:sz w:val="18"/>
              </w:rPr>
              <w:t>CC block (Director/File) at bottom</w:t>
            </w:r>
          </w:p>
        </w:tc>
        <w:tc>
          <w:tcPr>
            <w:tcW w:type="dxa" w:w="4703"/>
          </w:tcPr>
          <w:p>
            <w:r>
              <w:rPr>
                <w:sz w:val="18"/>
              </w:rPr>
              <w:t>CC block removed</w:t>
            </w:r>
          </w:p>
        </w:tc>
      </w:tr>
      <w:tr>
        <w:tc>
          <w:tcPr>
            <w:tcW w:type="dxa" w:w="4703"/>
          </w:tcPr>
          <w:p>
            <w:r>
              <w:rPr>
                <w:sz w:val="18"/>
              </w:rPr>
              <w:t>Standard paper format</w:t>
            </w:r>
          </w:p>
        </w:tc>
        <w:tc>
          <w:tcPr>
            <w:tcW w:type="dxa" w:w="4703"/>
          </w:tcPr>
          <w:p>
            <w:r>
              <w:rPr>
                <w:sz w:val="18"/>
              </w:rPr>
              <w:t>Custom A4: margin 4mm top/bottom, DPI=96</w:t>
            </w:r>
          </w:p>
        </w:tc>
      </w:tr>
      <w:tr>
        <w:tc>
          <w:tcPr>
            <w:tcW w:type="dxa" w:w="4703"/>
          </w:tcPr>
          <w:p>
            <w:r>
              <w:rPr>
                <w:sz w:val="18"/>
              </w:rPr>
              <w:t>T&amp;C picker narrow</w:t>
            </w:r>
          </w:p>
        </w:tc>
        <w:tc>
          <w:tcPr>
            <w:tcW w:type="dxa" w:w="4703"/>
          </w:tcPr>
          <w:p>
            <w:r>
              <w:rPr>
                <w:sz w:val="18"/>
              </w:rPr>
              <w:t>T&amp;C picker full-width (colspan=2)</w:t>
            </w:r>
          </w:p>
        </w:tc>
      </w:tr>
      <w:tr>
        <w:tc>
          <w:tcPr>
            <w:tcW w:type="dxa" w:w="4703"/>
          </w:tcPr>
          <w:p>
            <w:r>
              <w:rPr>
                <w:sz w:val="18"/>
              </w:rPr>
              <w:t>All text left-aligned</w:t>
            </w:r>
          </w:p>
        </w:tc>
        <w:tc>
          <w:tcPr>
            <w:tcW w:type="dxa" w:w="4703"/>
          </w:tcPr>
          <w:p>
            <w:r>
              <w:rPr>
                <w:sz w:val="18"/>
              </w:rPr>
              <w:t>All body text justified</w:t>
            </w:r>
          </w:p>
        </w:tc>
      </w:tr>
    </w:tbl>
    <w:p>
      <w:pPr>
        <w:pStyle w:val="Heading2"/>
      </w:pPr>
      <w:r>
        <w:rPr>
          <w:color w:val="4A1A6E"/>
        </w:rPr>
        <w:t>5.2  Bank Payment Voucher PDF</w:t>
      </w:r>
    </w:p>
    <w:p>
      <w:pPr>
        <w:pStyle w:val="ListBullet"/>
      </w:pPr>
      <w:r>
        <w:t>New layout: title (left) + logo (right) in header</w:t>
      </w:r>
    </w:p>
    <w:p>
      <w:pPr>
        <w:pStyle w:val="ListBullet"/>
      </w:pPr>
      <w:r>
        <w:t>Meta box: Financial Year, Voucher No (BPV ref), Date</w:t>
      </w:r>
    </w:p>
    <w:p>
      <w:pPr>
        <w:pStyle w:val="ListBullet"/>
      </w:pPr>
      <w:r>
        <w:t>GL table: Account Code | Title / Narration | Debit | Credit</w:t>
      </w:r>
    </w:p>
    <w:p>
      <w:pPr>
        <w:pStyle w:val="ListBullet"/>
      </w:pPr>
      <w:r>
        <w:t>Cheque details embedded per bank row (Account Title + Cheque No)</w:t>
      </w:r>
    </w:p>
    <w:p>
      <w:pPr>
        <w:pStyle w:val="ListBullet"/>
      </w:pPr>
      <w:r>
        <w:t>Amount in Words section</w:t>
      </w:r>
    </w:p>
    <w:p>
      <w:pPr>
        <w:pStyle w:val="ListBullet"/>
      </w:pPr>
      <w:r>
        <w:t>4-column signature block (Prepared / Checked / Approved / Received By)</w:t>
      </w:r>
    </w:p>
    <w:p>
      <w:pPr>
        <w:pStyle w:val="Heading2"/>
      </w:pPr>
      <w:r>
        <w:rPr>
          <w:color w:val="4A1A6E"/>
        </w:rPr>
        <w:t>5.3  Employee Kanban &amp; Form</w:t>
      </w:r>
    </w:p>
    <w:p>
      <w:pPr>
        <w:pStyle w:val="ListBullet"/>
      </w:pPr>
      <w:r>
        <w:t>Green dot + "Online" label when employee browser is active (heartbeat ≤ 65 seconds)</w:t>
      </w:r>
    </w:p>
    <w:p>
      <w:pPr>
        <w:pStyle w:val="ListBullet"/>
      </w:pPr>
      <w:r>
        <w:t>"Online From: [datetime]" when offline — replaces inaccurate Odoo built-in presence indicator</w:t>
      </w:r>
    </w:p>
    <w:p>
      <w:pPr>
        <w:pStyle w:val="ListBullet"/>
      </w:pPr>
      <w:r>
        <w:t>New Online History tab on employee form (Admin / HO / Finance HO only): columns Date &amp; Time, Status, Duration</w:t>
      </w:r>
    </w:p>
    <w:p>
      <w:pPr>
        <w:pStyle w:val="Heading2"/>
      </w:pPr>
      <w:r>
        <w:rPr>
          <w:color w:val="4A1A6E"/>
        </w:rPr>
        <w:t>5.4  Accounting Menu Rename</w:t>
      </w:r>
    </w:p>
    <w:p>
      <w:r>
        <w:t>Accounting → Customers → Payments renamed to Receipts.</w:t>
      </w:r>
    </w:p>
    <w:p>
      <w:pPr>
        <w:pStyle w:val="Heading2"/>
      </w:pPr>
      <w:r>
        <w:rPr>
          <w:color w:val="4A1A6E"/>
        </w:rPr>
        <w:t>5.5  Payments List — New Button</w:t>
      </w:r>
    </w:p>
    <w:p>
      <w:r>
        <w:t>The New button in Vendors → Payments list now opens the Batch Payment form instead of a single payment form.</w:t>
      </w:r>
    </w:p>
    <w:p>
      <w:pPr>
        <w:pStyle w:val="Heading2"/>
      </w:pPr>
      <w:r>
        <w:rPr>
          <w:color w:val="4A1A6E"/>
        </w:rPr>
        <w:t>5.6  Journal Entries — Due Date &amp; Payment Terms Hidden</w:t>
      </w:r>
    </w:p>
    <w:p>
      <w:pPr>
        <w:pStyle w:val="ListBullet"/>
      </w:pPr>
      <w:r>
        <w:t>Due Date and Payment Terms fields hidden on Journal Entry forms (still visible on Vendor Bills)</w:t>
      </w:r>
    </w:p>
    <w:p>
      <w:pPr>
        <w:pStyle w:val="ListBullet"/>
      </w:pPr>
      <w:r>
        <w:t>Journal entries may freely use payable/receivable accounts without requiring a due date</w:t>
      </w:r>
    </w:p>
    <w:p>
      <w:pPr>
        <w:pStyle w:val="Heading2"/>
      </w:pPr>
      <w:r>
        <w:rPr>
          <w:color w:val="4A1A6E"/>
        </w:rPr>
        <w:t>5.7  Contact Dropdowns — No Create Option for Site Users</w:t>
      </w:r>
    </w:p>
    <w:p>
      <w:r>
        <w:t>All partner Many2one dropdowns (vendor on PO, material issuance, subcontractor advance, vendor bill, etc.) no longer show "Create" or "Create and edit…" for Site Store Keepers and Site Accountants. Searching and selecting existing contacts still works.</w:t>
      </w:r>
    </w:p>
    <w:p>
      <w:pPr>
        <w:pStyle w:val="Heading2"/>
      </w:pPr>
      <w:r>
        <w:rPr>
          <w:color w:val="4A1A6E"/>
        </w:rPr>
        <w:t>5.8  Petty Cash — Admin Fix Wizard</w:t>
      </w:r>
    </w:p>
    <w:p>
      <w:pPr>
        <w:pStyle w:val="ListBullet"/>
      </w:pPr>
      <w:r>
        <w:t>New menu: Accounting → Petty Cash → Configuration → Fix Petty Cash Accounts</w:t>
      </w:r>
    </w:p>
    <w:p>
      <w:pPr>
        <w:pStyle w:val="ListBullet"/>
      </w:pPr>
      <w:r>
        <w:t>Opens a dialog with "Run Fix Now" button (Matracon Admin / System Administrator only)</w:t>
      </w:r>
    </w:p>
    <w:p>
      <w:pPr>
        <w:pStyle w:val="ListBullet"/>
      </w:pPr>
      <w:r>
        <w:t>Triggers the 3-step fix on demand without requiring a module upgrade</w:t>
      </w:r>
    </w:p>
    <w:p/>
    <w:p>
      <w:pPr>
        <w:pStyle w:val="Heading1"/>
      </w:pPr>
      <w:r>
        <w:rPr>
          <w:color w:val="1F3864"/>
        </w:rPr>
        <w:t>6. Known Issues / Pending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w:t>
            </w:r>
          </w:p>
        </w:tc>
        <w:tc>
          <w:tcPr>
            <w:tcW w:type="dxa" w:w="2351"/>
            <w:shd w:val="clear" w:color="auto" w:fill="1F3864"/>
          </w:tcPr>
          <w:p>
            <w:r>
              <w:rPr>
                <w:b/>
                <w:color w:val="FFFFFF"/>
              </w:rPr>
              <w:t>Area</w:t>
            </w:r>
          </w:p>
        </w:tc>
        <w:tc>
          <w:tcPr>
            <w:tcW w:type="dxa" w:w="2351"/>
            <w:shd w:val="clear" w:color="auto" w:fill="1F3864"/>
          </w:tcPr>
          <w:p>
            <w:r>
              <w:rPr>
                <w:b/>
                <w:color w:val="FFFFFF"/>
              </w:rPr>
              <w:t>Description</w:t>
            </w:r>
          </w:p>
        </w:tc>
        <w:tc>
          <w:tcPr>
            <w:tcW w:type="dxa" w:w="2351"/>
            <w:shd w:val="clear" w:color="auto" w:fill="1F3864"/>
          </w:tcPr>
          <w:p>
            <w:r>
              <w:rPr>
                <w:b/>
                <w:color w:val="FFFFFF"/>
              </w:rPr>
              <w:t>Priority</w:t>
            </w:r>
          </w:p>
        </w:tc>
      </w:tr>
      <w:tr>
        <w:tc>
          <w:tcPr>
            <w:tcW w:type="dxa" w:w="2351"/>
          </w:tcPr>
          <w:p>
            <w:r>
              <w:rPr>
                <w:sz w:val="18"/>
              </w:rPr>
              <w:t>1</w:t>
            </w:r>
          </w:p>
        </w:tc>
        <w:tc>
          <w:tcPr>
            <w:tcW w:type="dxa" w:w="2351"/>
          </w:tcPr>
          <w:p>
            <w:r>
              <w:rPr>
                <w:sz w:val="18"/>
              </w:rPr>
              <w:t>BPV PDF</w:t>
            </w:r>
          </w:p>
        </w:tc>
        <w:tc>
          <w:tcPr>
            <w:tcW w:type="dxa" w:w="2351"/>
          </w:tcPr>
          <w:p>
            <w:r>
              <w:rPr>
                <w:sz w:val="18"/>
              </w:rPr>
              <w:t>Footer (Regional Office line) may not render — wkhtmltopdf constraint for voucher-style reports</w:t>
            </w:r>
          </w:p>
        </w:tc>
        <w:tc>
          <w:tcPr>
            <w:tcW w:type="dxa" w:w="2351"/>
          </w:tcPr>
          <w:p>
            <w:r>
              <w:rPr>
                <w:sz w:val="18"/>
              </w:rPr>
              <w:t>Low</w:t>
            </w:r>
          </w:p>
        </w:tc>
      </w:tr>
      <w:tr>
        <w:tc>
          <w:tcPr>
            <w:tcW w:type="dxa" w:w="2351"/>
          </w:tcPr>
          <w:p>
            <w:r>
              <w:rPr>
                <w:sz w:val="18"/>
              </w:rPr>
              <w:t>2</w:t>
            </w:r>
          </w:p>
        </w:tc>
        <w:tc>
          <w:tcPr>
            <w:tcW w:type="dxa" w:w="2351"/>
          </w:tcPr>
          <w:p>
            <w:r>
              <w:rPr>
                <w:sz w:val="18"/>
              </w:rPr>
              <w:t>IPC Payments</w:t>
            </w:r>
          </w:p>
        </w:tc>
        <w:tc>
          <w:tcPr>
            <w:tcW w:type="dxa" w:w="2351"/>
          </w:tcPr>
          <w:p>
            <w:r>
              <w:rPr>
                <w:sz w:val="18"/>
              </w:rPr>
              <w:t>Pre-deployment petty cash payments not back-filled into IPC Payment Recovery — historical IPCs need manual review</w:t>
            </w:r>
          </w:p>
        </w:tc>
        <w:tc>
          <w:tcPr>
            <w:tcW w:type="dxa" w:w="2351"/>
          </w:tcPr>
          <w:p>
            <w:r>
              <w:rPr>
                <w:sz w:val="18"/>
              </w:rPr>
              <w:t>Medium</w:t>
            </w:r>
          </w:p>
        </w:tc>
      </w:tr>
      <w:tr>
        <w:tc>
          <w:tcPr>
            <w:tcW w:type="dxa" w:w="2351"/>
          </w:tcPr>
          <w:p>
            <w:r>
              <w:rPr>
                <w:sz w:val="18"/>
              </w:rPr>
              <w:t>3</w:t>
            </w:r>
          </w:p>
        </w:tc>
        <w:tc>
          <w:tcPr>
            <w:tcW w:type="dxa" w:w="2351"/>
          </w:tcPr>
          <w:p>
            <w:r>
              <w:rPr>
                <w:sz w:val="18"/>
              </w:rPr>
              <w:t>Employee Presence</w:t>
            </w:r>
          </w:p>
        </w:tc>
        <w:tc>
          <w:tcPr>
            <w:tcW w:type="dxa" w:w="2351"/>
          </w:tcPr>
          <w:p>
            <w:r>
              <w:rPr>
                <w:sz w:val="18"/>
              </w:rPr>
              <w:t>x_is_currently_online requires a mail.presence record; employees who never logged in always show Offline</w:t>
            </w:r>
          </w:p>
        </w:tc>
        <w:tc>
          <w:tcPr>
            <w:tcW w:type="dxa" w:w="2351"/>
          </w:tcPr>
          <w:p>
            <w:r>
              <w:rPr>
                <w:sz w:val="18"/>
              </w:rPr>
              <w:t>Low</w:t>
            </w:r>
          </w:p>
        </w:tc>
      </w:tr>
      <w:tr>
        <w:tc>
          <w:tcPr>
            <w:tcW w:type="dxa" w:w="2351"/>
          </w:tcPr>
          <w:p>
            <w:r>
              <w:rPr>
                <w:sz w:val="18"/>
              </w:rPr>
              <w:t>4</w:t>
            </w:r>
          </w:p>
        </w:tc>
        <w:tc>
          <w:tcPr>
            <w:tcW w:type="dxa" w:w="2351"/>
          </w:tcPr>
          <w:p>
            <w:r>
              <w:rPr>
                <w:sz w:val="18"/>
              </w:rPr>
              <w:t>Cheque Series</w:t>
            </w:r>
          </w:p>
        </w:tc>
        <w:tc>
          <w:tcPr>
            <w:tcW w:type="dxa" w:w="2351"/>
          </w:tcPr>
          <w:p>
            <w:r>
              <w:rPr>
                <w:sz w:val="18"/>
              </w:rPr>
              <w:t>No warning if a journal has no cheque series configured — payment can post with blank cheque number</w:t>
            </w:r>
          </w:p>
        </w:tc>
        <w:tc>
          <w:tcPr>
            <w:tcW w:type="dxa" w:w="2351"/>
          </w:tcPr>
          <w:p>
            <w:r>
              <w:rPr>
                <w:sz w:val="18"/>
              </w:rPr>
              <w:t>Medium</w:t>
            </w:r>
          </w:p>
        </w:tc>
      </w:tr>
      <w:tr>
        <w:tc>
          <w:tcPr>
            <w:tcW w:type="dxa" w:w="2351"/>
          </w:tcPr>
          <w:p>
            <w:r>
              <w:rPr>
                <w:sz w:val="18"/>
              </w:rPr>
              <w:t>5</w:t>
            </w:r>
          </w:p>
        </w:tc>
        <w:tc>
          <w:tcPr>
            <w:tcW w:type="dxa" w:w="2351"/>
          </w:tcPr>
          <w:p>
            <w:r>
              <w:rPr>
                <w:sz w:val="18"/>
              </w:rPr>
              <w:t>Batch Payment</w:t>
            </w:r>
          </w:p>
        </w:tc>
        <w:tc>
          <w:tcPr>
            <w:tcW w:type="dxa" w:w="2351"/>
          </w:tcPr>
          <w:p>
            <w:r>
              <w:rPr>
                <w:sz w:val="18"/>
              </w:rPr>
              <w:t>Batch payments are not linked to the Liability Sheet approval workflow — they bypass the normal approval chain</w:t>
            </w:r>
          </w:p>
        </w:tc>
        <w:tc>
          <w:tcPr>
            <w:tcW w:type="dxa" w:w="2351"/>
          </w:tcPr>
          <w:p>
            <w:r>
              <w:rPr>
                <w:sz w:val="18"/>
              </w:rPr>
              <w:t>Medium</w:t>
            </w:r>
          </w:p>
        </w:tc>
      </w:tr>
      <w:tr>
        <w:tc>
          <w:tcPr>
            <w:tcW w:type="dxa" w:w="2351"/>
          </w:tcPr>
          <w:p>
            <w:r>
              <w:rPr>
                <w:sz w:val="18"/>
              </w:rPr>
              <w:t>6</w:t>
            </w:r>
          </w:p>
        </w:tc>
        <w:tc>
          <w:tcPr>
            <w:tcW w:type="dxa" w:w="2351"/>
          </w:tcPr>
          <w:p>
            <w:r>
              <w:rPr>
                <w:sz w:val="18"/>
              </w:rPr>
              <w:t>HO Advances (Legacy)</w:t>
            </w:r>
          </w:p>
        </w:tc>
        <w:tc>
          <w:tcPr>
            <w:tcW w:type="dxa" w:w="2351"/>
          </w:tcPr>
          <w:p>
            <w:r>
              <w:rPr>
                <w:sz w:val="18"/>
              </w:rPr>
              <w:t>Existing x.subcontractor.ho.advance records no longer reflected in IPC totals — discrepancy until manually reconciled</w:t>
            </w:r>
          </w:p>
        </w:tc>
        <w:tc>
          <w:tcPr>
            <w:tcW w:type="dxa" w:w="2351"/>
          </w:tcPr>
          <w:p>
            <w:r>
              <w:rPr>
                <w:sz w:val="18"/>
              </w:rPr>
              <w:t>Medium</w:t>
            </w:r>
          </w:p>
        </w:tc>
      </w:tr>
    </w:tbl>
    <w:p/>
    <w:p>
      <w:pPr>
        <w:pStyle w:val="Heading1"/>
      </w:pPr>
      <w:r>
        <w:rPr>
          <w:color w:val="1F3864"/>
        </w:rPr>
        <w:t>7. Rollback Plan</w:t>
      </w:r>
    </w:p>
    <w:p>
      <w:pPr>
        <w:pStyle w:val="Heading2"/>
      </w:pPr>
      <w:r>
        <w:rPr>
          <w:color w:val="4A1A6E"/>
        </w:rPr>
        <w:t>Conditions for Rollback</w:t>
      </w:r>
    </w:p>
    <w:p>
      <w:pPr>
        <w:pStyle w:val="ListBullet"/>
      </w:pPr>
      <w:r>
        <w:t>Vendor payments fail to post or generate incorrect journal entries</w:t>
      </w:r>
    </w:p>
    <w:p>
      <w:pPr>
        <w:pStyle w:val="ListBullet"/>
      </w:pPr>
      <w:r>
        <w:t>Petty cash release flow stops creating journal entries</w:t>
      </w:r>
    </w:p>
    <w:p>
      <w:pPr>
        <w:pStyle w:val="ListBullet"/>
      </w:pPr>
      <w:r>
        <w:t>PO/RFQ PDF renders blank or crashes</w:t>
      </w:r>
    </w:p>
    <w:p>
      <w:pPr>
        <w:pStyle w:val="Heading2"/>
      </w:pPr>
      <w:r>
        <w:rPr>
          <w:color w:val="4A1A6E"/>
        </w:rPr>
        <w:t>Rollback Steps</w:t>
      </w:r>
    </w:p>
    <w:p>
      <w:r>
        <w:rPr>
          <w:b/>
        </w:rPr>
        <w:t>Step 1 — Identify last stable SHA</w:t>
      </w:r>
    </w:p>
    <w:p>
      <w:r>
        <w:t>Run: git log --oneline origin/main | head -10</w:t>
        <w:br/>
        <w:t>Note the SHA of the last known-good production commit.</w:t>
      </w:r>
    </w:p>
    <w:p>
      <w:r>
        <w:rPr>
          <w:b/>
        </w:rPr>
        <w:t>Step 2 — Revert the Development branch</w:t>
      </w:r>
    </w:p>
    <w:p>
      <w:r>
        <w:t>git revert &lt;sha-range&gt; --no-commit</w:t>
        <w:br/>
        <w:t>git commit -m "Rollback: revert Matracon Deployment 27072026"</w:t>
        <w:br/>
        <w:t>odoosh-push</w:t>
        <w:br/>
        <w:t>Or use the Odoo.sh dashboard to roll back to the previous build.</w:t>
      </w:r>
    </w:p>
    <w:p>
      <w:r>
        <w:rPr>
          <w:b/>
        </w:rPr>
        <w:t>Step 3 — Downgrade modules</w:t>
      </w:r>
    </w:p>
    <w:p>
      <w:r>
        <w:t>odoo-bin -u site_operations,purchase_demand_raise --stop-after-init --no-http</w:t>
      </w:r>
    </w:p>
    <w:p>
      <w:r>
        <w:rPr>
          <w:b/>
        </w:rPr>
        <w:t>Step 4 — Restore database if needed</w:t>
      </w:r>
    </w:p>
    <w:p>
      <w:r>
        <w:t>If schema changes cause constraint errors: restore from the pre-deployment backup via Odoo.sh dashboard → Backups tab.</w:t>
      </w:r>
    </w:p>
    <w:p>
      <w:r>
        <w:rPr>
          <w:b/>
        </w:rPr>
        <w:t>Step 5 — Verify</w:t>
      </w:r>
    </w:p>
    <w:p>
      <w:r>
        <w:t>Post a Vendor Bill → confirm GL. Release a Petty Cash Request → confirm Cash-in-Hand debited. Print a PO PDF. Check employee kanban presence.</w:t>
      </w:r>
    </w:p>
    <w:p>
      <w:pPr>
        <w:pStyle w:val="Heading2"/>
      </w:pPr>
      <w:r>
        <w:rPr>
          <w:color w:val="4A1A6E"/>
        </w:rPr>
        <w:t>Data Risk Assessment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b/>
                <w:color w:val="FFFFFF"/>
              </w:rPr>
              <w:t>Change</w:t>
            </w:r>
          </w:p>
        </w:tc>
        <w:tc>
          <w:tcPr>
            <w:tcW w:type="dxa" w:w="4703"/>
            <w:shd w:val="clear" w:color="auto" w:fill="1F3864"/>
          </w:tcPr>
          <w:p>
            <w:r>
              <w:rPr>
                <w:b/>
                <w:color w:val="FFFFFF"/>
              </w:rPr>
              <w:t>Reversibility</w:t>
            </w:r>
          </w:p>
        </w:tc>
      </w:tr>
      <w:tr>
        <w:tc>
          <w:tcPr>
            <w:tcW w:type="dxa" w:w="4703"/>
          </w:tcPr>
          <w:p>
            <w:r>
              <w:rPr>
                <w:sz w:val="18"/>
              </w:rPr>
              <w:t>New fields (nullable)</w:t>
            </w:r>
          </w:p>
        </w:tc>
        <w:tc>
          <w:tcPr>
            <w:tcW w:type="dxa" w:w="4703"/>
          </w:tcPr>
          <w:p>
            <w:r>
              <w:rPr>
                <w:sz w:val="18"/>
              </w:rPr>
              <w:t>Safe — old code ignores unknown columns</w:t>
            </w:r>
          </w:p>
        </w:tc>
      </w:tr>
      <w:tr>
        <w:tc>
          <w:tcPr>
            <w:tcW w:type="dxa" w:w="4703"/>
          </w:tcPr>
          <w:p>
            <w:r>
              <w:rPr>
                <w:sz w:val="18"/>
              </w:rPr>
              <w:t>New models</w:t>
            </w:r>
          </w:p>
        </w:tc>
        <w:tc>
          <w:tcPr>
            <w:tcW w:type="dxa" w:w="4703"/>
          </w:tcPr>
          <w:p>
            <w:r>
              <w:rPr>
                <w:sz w:val="18"/>
              </w:rPr>
              <w:t>Safe — old code does not reference them</w:t>
            </w:r>
          </w:p>
        </w:tc>
      </w:tr>
      <w:tr>
        <w:tc>
          <w:tcPr>
            <w:tcW w:type="dxa" w:w="4703"/>
          </w:tcPr>
          <w:p>
            <w:r>
              <w:rPr>
                <w:sz w:val="18"/>
              </w:rPr>
              <w:t>post_migrate_hook JE corrections</w:t>
            </w:r>
          </w:p>
        </w:tc>
        <w:tc>
          <w:tcPr>
            <w:tcW w:type="dxa" w:w="4703"/>
          </w:tcPr>
          <w:p>
            <w:r>
              <w:rPr>
                <w:sz w:val="18"/>
              </w:rPr>
              <w:t>Irreversible — correcting JEs are posted; must be manually reversed if rollback needed</w:t>
            </w:r>
          </w:p>
        </w:tc>
      </w:tr>
      <w:tr>
        <w:tc>
          <w:tcPr>
            <w:tcW w:type="dxa" w:w="4703"/>
          </w:tcPr>
          <w:p>
            <w:r>
              <w:rPr>
                <w:sz w:val="18"/>
              </w:rPr>
              <w:t>BPV ref renaming</w:t>
            </w:r>
          </w:p>
        </w:tc>
        <w:tc>
          <w:tcPr>
            <w:tcW w:type="dxa" w:w="4703"/>
          </w:tcPr>
          <w:p>
            <w:r>
              <w:rPr>
                <w:sz w:val="18"/>
              </w:rPr>
              <w:t>Safe — old code uses the name field as fallback</w:t>
            </w:r>
          </w:p>
        </w:tc>
      </w:tr>
      <w:tr>
        <w:tc>
          <w:tcPr>
            <w:tcW w:type="dxa" w:w="4703"/>
          </w:tcPr>
          <w:p>
            <w:r>
              <w:rPr>
                <w:sz w:val="18"/>
              </w:rPr>
              <w:t>Menu renames</w:t>
            </w:r>
          </w:p>
        </w:tc>
        <w:tc>
          <w:tcPr>
            <w:tcW w:type="dxa" w:w="4703"/>
          </w:tcPr>
          <w:p>
            <w:r>
              <w:rPr>
                <w:sz w:val="18"/>
              </w:rPr>
              <w:t>Safe — revert restores original menu names</w:t>
            </w:r>
          </w:p>
        </w:tc>
      </w:tr>
      <w:tr>
        <w:tc>
          <w:tcPr>
            <w:tcW w:type="dxa" w:w="4703"/>
          </w:tcPr>
          <w:p>
            <w:r>
              <w:rPr>
                <w:sz w:val="18"/>
              </w:rPr>
              <w:t>Contact ACL restriction</w:t>
            </w:r>
          </w:p>
        </w:tc>
        <w:tc>
          <w:tcPr>
            <w:tcW w:type="dxa" w:w="4703"/>
          </w:tcPr>
          <w:p>
            <w:r>
              <w:rPr>
                <w:sz w:val="18"/>
              </w:rPr>
              <w:t>Safe — revert restores write/create access for site groups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