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2"/>
        </w:rPr>
        <w:t>Functional Specification Documentation</w:t>
      </w:r>
    </w:p>
    <w:tbl>
      <w:tblPr>
        <w:tblStyle w:val="TableGrid"/>
        <w:tblW w:type="auto" w:w="0"/>
        <w:tblLook w:firstColumn="1" w:firstRow="1" w:lastColumn="0" w:lastRow="0" w:noHBand="0" w:noVBand="1" w:val="04A0"/>
      </w:tblPr>
      <w:tblGrid>
        <w:gridCol w:w="4986"/>
        <w:gridCol w:w="4986"/>
      </w:tblGrid>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DOCUMENT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PROCESS &amp; FEATURE GAP REGISTER</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PREPARED BY</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CWARE TECHNOLOGIES</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CLIENT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MATRACON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PROJECT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ODOO ERP IMPLEMENTATION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VERSION</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1.0.0</w:t>
            </w:r>
          </w:p>
        </w:tc>
      </w:tr>
    </w:tbl>
    <w:p/>
    <w:p>
      <w:pPr>
        <w:pStyle w:val="Heading1"/>
      </w:pPr>
      <w:r>
        <w:rPr>
          <w:rFonts w:ascii="Arial" w:hAnsi="Arial"/>
        </w:rPr>
        <w:t>Purpose</w:t>
      </w:r>
    </w:p>
    <w:p>
      <w:r>
        <w:rPr>
          <w:rFonts w:ascii="Arial" w:hAnsi="Arial"/>
          <w:sz w:val="22"/>
        </w:rPr>
        <w:t>This document lists every process, feature, and functional area that has been built and implemented in the MATRACON Odoo ERP system but is NOT covered by any of the five existing Functional Specification Documents (CEO Flow, Procurement HO Flow, Finance HO Flow, Site Store Flow, Site Accountant Flow). Each item is described and mapped to the suggested document it should be added to — either an existing FSD or a new standalone document.</w:t>
      </w:r>
    </w:p>
    <w:p/>
    <w:p>
      <w:pPr>
        <w:pStyle w:val="Heading2"/>
      </w:pPr>
      <w:r>
        <w:rPr>
          <w:rFonts w:ascii="Arial" w:hAnsi="Arial"/>
        </w:rPr>
        <w:t>Legend — Suggested Document Column</w:t>
      </w:r>
    </w:p>
    <w:tbl>
      <w:tblPr>
        <w:tblStyle w:val="TableGrid"/>
        <w:tblW w:type="auto" w:w="0"/>
        <w:tblLook w:firstColumn="1" w:firstRow="1" w:lastColumn="0" w:lastRow="0" w:noHBand="0" w:noVBand="1" w:val="04A0"/>
      </w:tblPr>
      <w:tblGrid>
        <w:gridCol w:w="4986"/>
        <w:gridCol w:w="4986"/>
      </w:tblGrid>
      <w:tr>
        <w:tc>
          <w:tcPr>
            <w:tcW w:type="dxa" w:w="4986"/>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 xml:space="preserve">  </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standalone FSD document required (new module/process area)</w:t>
            </w:r>
          </w:p>
        </w:tc>
      </w:tr>
      <w:tr>
        <w:tc>
          <w:tcPr>
            <w:tcW w:type="dxa" w:w="4986"/>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 xml:space="preserve">  </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an existing FSD document (extend an existing flow)</w:t>
            </w:r>
          </w:p>
        </w:tc>
      </w:tr>
      <w:tr>
        <w:tc>
          <w:tcPr>
            <w:tcW w:type="dxa" w:w="4986"/>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 xml:space="preserve">  </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 Configuration — admin-level, no user FSD required</w:t>
            </w:r>
          </w:p>
        </w:tc>
      </w:tr>
    </w:tbl>
    <w:p/>
    <w:p>
      <w:pPr>
        <w:pStyle w:val="Heading2"/>
      </w:pPr>
      <w:r>
        <w:rPr>
          <w:rFonts w:ascii="Arial" w:hAnsi="Arial"/>
        </w:rPr>
        <w:t>Complete Process &amp; Feature Gap Register</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5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w:t>
            </w:r>
          </w:p>
        </w:tc>
        <w:tc>
          <w:tcPr>
            <w:tcW w:type="dxa" w:w="255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Process / Feature Name</w:t>
            </w:r>
          </w:p>
        </w:tc>
        <w:tc>
          <w:tcPr>
            <w:tcW w:type="dxa" w:w="4819"/>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Module / Area</w:t>
            </w:r>
          </w:p>
        </w:tc>
        <w:tc>
          <w:tcPr>
            <w:tcW w:type="dxa" w:w="2835"/>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Suggested Document</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IPC — Interim Payment Certificate (Full Process)</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 subcontractor billing cycle: create IPC, enter work done quantities by BOQ item, compute gross value, apply retention %, apply backcharge deductions, compute payment recovery, calculate net payable. CEO/MD approval then locks the IPC. Payment tracking (vendor payments + petty cash advances) auto-populates "Payments Made" field. Smart buttons for backcharges and payment history.</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Subcontractor Management</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Subcontractor Management Flow</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Subcontractor Backcharge — Standalone Record</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raises a backcharge against a subcontractor when material is damaged, lost, or quality is substandard. Record includes: subcontractor, project, description, amount, date. Backcharge records are then pulled into IPC deductions at the time of next IPC submission. Full audit trail via chatter.</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Subcontractor Management</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Subcontractor Management Flow</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3</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Employee Backcharge</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 raises a backcharge against an employee when an issued asset is damaged or lost. The outstanding backcharge balance feeds automatically into the monthly salary sheet as a deduction line, separate from salary advances. Record includes: employee, description, amount, issue date, asset reference.</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HR / Payroll</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Subcontractor Management Flow or Site Accountant Flow (extend)</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4</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Fleet / Vehicle Management (Full Module)</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 fleet management: vehicle registration with MPPL internal numbering (MPPL-G-0001, MPPL-CM-0001 etc.), fleet categories (LTV / HTV / Plant &amp; Equipment), owned vs rented classification, fuel &amp; consumable log entries, spare parts from inventory, driver assignment, odometer/hour-meter tracking (km / hours / units produced), and management dashboard with costs by vehicle, category, and project site.</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Fleet Management</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Fleet &amp; Vehicle Management Flow (CREATED ✓)</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5</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Inter-Project Transfer &amp; Accounting</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When Finance HO pays a vendor using one project's funds for another project, an inter-project entry is automatically created (Dr Inter-Project Receivable / Cr Inter-Project Payable). Same logic applies to site-to-site inventory transfers. A dedicated Inter-Project Transfer register tracks all such balances and shows "who owes whom" across all active project sites.</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 Accounting</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Inter-Project Transfer Flow</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6</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Post-Dated Cheque (PDC) Register — Full Process</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PDC register records cheques issued to vendors/subcontractors with a future maturity date. Process includes: create PDC entry (payee, bank, amount, issue date, cheque date), track status (Active / Deposited / Cancelled), update to Deposited when cheque clears, link to payment. Dashboard shows all active PDCs with upcoming maturity dates. CEO dashboard shows PDC summary as informational KPI.</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 Accounting</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Post-Dated Cheque Management Flow</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7</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WHT Deduction Certificate — Generation &amp; Management</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WHT certificates are generated for two purposes: (a) Vendor payments (Section 153) — auto-created at time of payment, carries tax section, amount, certificate number; (b) Salary WHT (Section 149) — generated from salary sheet lines for employees whose salary crosses taxable threshold. Certificates are printable PDFs and are searchable by vendor/employee, payment date, and tax section.</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 Tax</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WHT Certificate Flow (or add to Finance HO Flow)</w:t>
            </w:r>
          </w:p>
        </w:tc>
      </w:tr>
      <w:tr>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8</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Material Cost Consumption Report</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 read-only dashboard report that aggregates material issuance costs per project, by product category, and by individual product. Shows: issued qty, returned qty, net consumed qty, unit cost, and total cost. Filterable by project site and date range. Referenced as "Material Cost Consumption — Informational" on the CEO dashboard but the process for viewing and using it is not documented.</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Inventory / Reporting</w:t>
            </w:r>
          </w:p>
        </w:tc>
        <w:tc>
          <w:tcPr>
            <w:tcW w:type="dxa" w:w="199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New FSD — Material Cost Consumption Report</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9</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Bank Guarantee — Amendment Process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After initial BG entry, the Finance HO can raise amendments (increase/decrease facility, extend validity, change slab structure). A BG Amendment import wizard handles bulk slab updates. BG Export PDF generates printable guarantee documents. BG expiry alerts fire automatically 10 days before expiry to Finance HO, CEO, and configured additional recipients.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Bank Guarantees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Bank Guarantee Management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10</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Cheque Book / Series Setup</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Before cheques can be printed or assigned, the Finance HO sets up a cheque book series per bank journal: define series name, bank, starting cheque number, ending cheque number. The system then tracks which cheque numbers are used, pending, or cancelled. Setup process is not documented — only cheque printing and assignment are in the Finance HO Flow.</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Cheques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add Cheque Book Setup step before Cheque Printing</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11</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Payment Allocation Across Multiple Bills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 single vendor payment can be allocated across multiple liability sheet lines (invoices). Finance HO enters the payment amount, then uses the Payment Allocation sub-form to distribute the amount across individual bill lines. WHT is computed per line. This multi-bill split process is a key Finance HO workflow step not explicitly documented in the Finance HO Flow.</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Payments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Payment to Vendors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12</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Petty Cash — Subcontractor Advance via Petty Cash</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store manager checks "Subcontractor Advance" on a petty cash expense line, selects the subcontractor, and the expense account auto-fills to the payable account. The posted journal entry debits the subcontractor's payable account — this debit is automatically captured in the IPC "Payments Made" computation. A separate flow from normal petty cash expenses.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Site / Petty Cash</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Site Accountant Flow — extend Petty Cash Management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13</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Petty Cash — Fix GL Entry (Corrective Tool)</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 "Fix GL Entry" button on posted Petty Cash Requests allows Finance HO to correct a GL posting where the wrong account was debited (e.g. AP account instead of Cash in Hand). Creates a reversing corrective journal entry automatically. Restricted to Finance HO and Matracon Admin roles. Has a confirmation dialog.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Petty Cash</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Petty Cash Release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14</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Customer Invoice — Analytic Per Line (Site Accountant)</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accountants can create customer invoices (out_invoice) where the analytic account is auto-filled per line from the header project field. The analytic column is read-only in the site accountant view (cannot be changed line by line). Customer invoices are not mentioned in the Site Accountant Flow at all — only vendor invoices (liability creation) are covered.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Site Accountant / Accounting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Site Accountant Flow — new process: Customer Invoice Creation</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15</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Journal Entries — Miscellaneous Entries (Site Accountant)</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accountants create MISC journal entries where the analytic account auto-fills from their default project. The analytic column is read-only. Due date and payment terms are hidden on journal entries. Payable/receivable accounts can be used without triggering a due date validation error. The Finance HO Flow covers "Adjustments &amp; Misc Entries (MD Sb)" but the site accountant version is not documented.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Site Accountant / Accounting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Site Accountant Flow — new process: Misc Journal Entries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16</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Trial Balance — Group by Account Type</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The standard Odoo Trial Balance report has been extended with a "Group by Account Type" option that collapses individual GL accounts into account type subtotals (e.g. all liability_payable accounts summed into one line). Useful for high-level financial review. Not mentioned in any flow document.</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Reporting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Management Dashboard section</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17</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Partner Ledger — Tax &amp; WHT Tax Columns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The standard Odoo Partner Ledger report has been extended with two additional columns: Tax Amount and Withheld Tax Amount. These columns appear on every partner ledger line so Finance HO can see the tax and WHT breakdown alongside the net payable amount without running a separate report. Lives in my_custom_module.</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Reporting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Management Dashboard / Reporting section</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18</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Salary Sheet — Monthly Processing with Deductions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The salary sheet (x.salary.sheet) is a monthly per-site payroll computation model. It includes: base salary, advance deductions, employee backcharge deductions, salary WHT (Section 149) computation, and net payable per employee. The Site Accountant Flow covers "Salary Slips (Advance + Adjustments)" but the monthly salary sheet model and its deduction logic are not documented.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Site Accountant / HR</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Site Accountant Flow — extend Salary Slips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19</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HO Direct Payments — Inter-Project Tagging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When Finance HO processes an HO Direct Payment (paying a vendor directly from HO funds for a specific project), the payment is tagged to the destination project. This creates an inter-project receivable visible in the management dashboard. The Finance HO Flow covers HO Direct Payments but the project tagging and inter-project balance creation are not documented.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Payments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extend HO Direct Payments Flow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20</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IPC — Project Work Done &amp; Remaining Status (CEO Dashboard)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The CEO dashboard shows "Project Work Done &amp; Remaining Status" as an informational KPI. This is computed from IPC data — the total certified work done (cumulative IPC value) vs. the original contract value. The computation logic and how it feeds the CEO dashboard is not documented.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CEO Dashboard / IPC</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CEO Flow — document IPC-driven KPI computation</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21</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Attendance Sheet — Monthly Registry (x.attendance.sheet)</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Beyond individual daily attendance marking, the system maintains a monthly attendance sheet per site. It tracks: each employee's daily present/absent/leave status, computes monthly totals, calculates average employees and average present count per month. The Site Accountant Flow covers attendance in general but the monthly sheet model and its computation are not documented.</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Site Accountant / HR</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Site Accountant Flow — extend Attendance process</w:t>
            </w:r>
          </w:p>
        </w:tc>
      </w:tr>
      <w:tr>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22</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Vendor Bills — Receipts Renamed (Finance HO)</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The Accounting → Customers → Payments menu has been renamed to "Receipts" to better reflect MATRACON's terminology for incoming payments. This UI change is not noted in any flow document but affects how Finance HO navigates to process incoming receipts.</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Finance HO / Accounting</w:t>
            </w:r>
          </w:p>
        </w:tc>
        <w:tc>
          <w:tcPr>
            <w:tcW w:type="dxa" w:w="199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to Finance HO Flow — note in Payments section</w:t>
            </w:r>
          </w:p>
        </w:tc>
      </w:tr>
      <w:tr>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23</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Site Configuration Setup (project.site.config)</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 project site is set up by Admin via: Configuration → Site Configurations. Each site config links: a project.project, a stock.warehouse, an account.analytic.account, a petty cash account (Cash in Hand GL), site manager users, and site accountant users. Record rules and analytic filtering throughout the system depend on this configuration. Setting up a new project site is an admin process not documented in any flow.</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System Configuration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Admin / Config — no user FSD needed; internal setup guide recommended</w:t>
            </w:r>
          </w:p>
        </w:tc>
      </w:tr>
      <w:tr>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24</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Employee Online Presence Tracking</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Two fields on hr.employee: x_last_online (last heartbeat timestamp from mail.presence) and x_is_currently_online (True if heartbeat ≤ 65s ago). Shown on employee kanban (green dot + "Online") and employee form → Settings tab. A cron job runs every 2 minutes to write Offline status for employees whose heartbeat has gone stale. Full history tab on employee form shows Online/Offline transitions with duration.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HR / System</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Admin / IT feature — no user FSD required</w:t>
            </w:r>
          </w:p>
        </w:tc>
      </w:tr>
      <w:tr>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25</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Security Groups &amp; Role Permission Matrix</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Six custom security groups (group_head_office, group_procurement_ho, group_ceo_approval, group_site_store, group_matracon_admin, group_site_accountant, group_finance_ho) control all module access. Role permissions are set via implied_ids in role_app_groups.xml. Record rules scope data by site analytic account. No user FSD covers how these roles are assigned or what each role can see/do end-to-end.</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System Configuration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Admin / Config — Role &amp; Access Matrix document recommended</w:t>
            </w:r>
          </w:p>
        </w:tc>
      </w:tr>
      <w:tr>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26</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BG Expiry Alert Notification System</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Automated email alert fires 10 days before a Bank Guarantee expiry date. Recipients: Finance HO, CEO, and any additional contacts configured in Configuration → BG Expiry Notification Settings. Alert includes BG reference, amount, expiry date, and a direct link to the BG record. Cron-driven.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System / Automation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Admin / Config — note in Finance HO Flow or BG Setup guide</w:t>
            </w:r>
          </w:p>
        </w:tc>
      </w:tr>
      <w:tr>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18"/>
              </w:rPr>
              <w:t>27</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18"/>
              </w:rPr>
              <w:t>Matracon Notification System (Procurement Approvals)</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Automated in-app and email notifications fire on procurement events: PR submitted for approval, PO approved by CEO/MD, PO rejected. Notifications target the relevant role groups. Not documented in any flow — the Procurement HO Flow mentions auto-notification as a step but the configuration and recipient logic are not described.</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sz w:val="18"/>
              </w:rPr>
              <w:t>System / Automation</w:t>
            </w:r>
          </w:p>
        </w:tc>
        <w:tc>
          <w:tcPr>
            <w:tcW w:type="dxa" w:w="199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Admin / Config — note in Procurement HO Flow</w:t>
            </w:r>
          </w:p>
        </w:tc>
      </w:tr>
    </w:tbl>
    <w:p/>
    <w:p>
      <w:pPr>
        <w:pStyle w:val="Heading2"/>
      </w:pPr>
      <w:r>
        <w:rPr>
          <w:rFonts w:ascii="Arial" w:hAnsi="Arial"/>
        </w:rPr>
        <w:t>Summary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20"/>
              </w:rPr>
              <w:t>Category</w:t>
            </w:r>
          </w:p>
        </w:tc>
        <w:tc>
          <w:tcPr>
            <w:tcW w:type="dxa" w:w="332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20"/>
              </w:rPr>
              <w:t>Count</w:t>
            </w:r>
          </w:p>
        </w:tc>
        <w:tc>
          <w:tcPr>
            <w:tcW w:type="dxa" w:w="332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20"/>
              </w:rPr>
              <w:t>Action Required</w:t>
            </w:r>
          </w:p>
        </w:tc>
      </w:tr>
      <w:tr>
        <w:tc>
          <w:tcPr>
            <w:tcW w:type="dxa" w:w="332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20"/>
              </w:rPr>
              <w:t>New Standalone FSD Documents Required</w:t>
            </w:r>
          </w:p>
        </w:tc>
        <w:tc>
          <w:tcPr>
            <w:tcW w:type="dxa" w:w="332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20"/>
              </w:rPr>
              <w:t>8 items (# 1–8)</w:t>
            </w:r>
          </w:p>
        </w:tc>
        <w:tc>
          <w:tcPr>
            <w:tcW w:type="dxa" w:w="3324"/>
            <w:shd w:val="clear" w:color="auto" w:fill="d9ead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0"/>
              </w:rPr>
              <w:t>Create new FSD document per process area</w:t>
            </w:r>
          </w:p>
        </w:tc>
      </w:tr>
      <w:tr>
        <w:tc>
          <w:tcPr>
            <w:tcW w:type="dxa" w:w="332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20"/>
              </w:rPr>
              <w:t>Add to Existing FSD Documents</w:t>
            </w:r>
          </w:p>
        </w:tc>
        <w:tc>
          <w:tcPr>
            <w:tcW w:type="dxa" w:w="332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20"/>
              </w:rPr>
              <w:t>14 items (# 9–22)</w:t>
            </w:r>
          </w:p>
        </w:tc>
        <w:tc>
          <w:tcPr>
            <w:tcW w:type="dxa" w:w="3324"/>
            <w:shd w:val="clear" w:color="auto" w:fill="fff2c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0"/>
              </w:rPr>
              <w:t>Extend the relevant existing flow document</w:t>
            </w:r>
          </w:p>
        </w:tc>
      </w:tr>
      <w:tr>
        <w:tc>
          <w:tcPr>
            <w:tcW w:type="dxa" w:w="332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sz w:val="20"/>
              </w:rPr>
              <w:t>System / Admin / Config (no FSD)</w:t>
            </w:r>
          </w:p>
        </w:tc>
        <w:tc>
          <w:tcPr>
            <w:tcW w:type="dxa" w:w="332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val="0"/>
                <w:i w:val="0"/>
                <w:sz w:val="20"/>
              </w:rPr>
              <w:t>5 items (# 23–27)</w:t>
            </w:r>
          </w:p>
        </w:tc>
        <w:tc>
          <w:tcPr>
            <w:tcW w:type="dxa" w:w="3324"/>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0"/>
              </w:rPr>
              <w:t>Internal setup guide / admin knowledge base</w:t>
            </w:r>
          </w:p>
        </w:tc>
      </w:tr>
    </w:tbl>
    <w:p/>
    <w:p>
      <w:pPr>
        <w:pStyle w:val="Heading2"/>
      </w:pPr>
      <w:r>
        <w:rPr>
          <w:rFonts w:ascii="Arial" w:hAnsi="Arial"/>
        </w:rPr>
        <w:t>New FSD Documents to Create</w:t>
      </w:r>
    </w:p>
    <w:p>
      <w:pPr>
        <w:pStyle w:val="ListBullet"/>
      </w:pPr>
      <w:r>
        <w:rPr>
          <w:rFonts w:ascii="Arial" w:hAnsi="Arial"/>
          <w:sz w:val="22"/>
        </w:rPr>
        <w:t>Subcontractor Management Flow  (IPC + Backcharges + Employee Backcharge)</w:t>
      </w:r>
    </w:p>
    <w:p>
      <w:pPr>
        <w:pStyle w:val="ListBullet"/>
      </w:pPr>
      <w:r>
        <w:rPr>
          <w:rFonts w:ascii="Arial" w:hAnsi="Arial"/>
          <w:sz w:val="22"/>
        </w:rPr>
        <w:t>Fleet &amp; Vehicle Management Flow  (CREATED ✓)</w:t>
      </w:r>
    </w:p>
    <w:p>
      <w:pPr>
        <w:pStyle w:val="ListBullet"/>
      </w:pPr>
      <w:r>
        <w:rPr>
          <w:rFonts w:ascii="Arial" w:hAnsi="Arial"/>
          <w:sz w:val="22"/>
        </w:rPr>
        <w:t>Inter-Project Transfer Flow</w:t>
      </w:r>
    </w:p>
    <w:p>
      <w:pPr>
        <w:pStyle w:val="ListBullet"/>
      </w:pPr>
      <w:r>
        <w:rPr>
          <w:rFonts w:ascii="Arial" w:hAnsi="Arial"/>
          <w:sz w:val="22"/>
        </w:rPr>
        <w:t>Post-Dated Cheque Management Flow</w:t>
      </w:r>
    </w:p>
    <w:p>
      <w:pPr>
        <w:pStyle w:val="ListBullet"/>
      </w:pPr>
      <w:r>
        <w:rPr>
          <w:rFonts w:ascii="Arial" w:hAnsi="Arial"/>
          <w:sz w:val="22"/>
        </w:rPr>
        <w:t>WHT Certificate Management Flow  (or fold into Finance HO Flow)</w:t>
      </w:r>
    </w:p>
    <w:p>
      <w:pPr>
        <w:pStyle w:val="ListBullet"/>
      </w:pPr>
      <w:r>
        <w:rPr>
          <w:rFonts w:ascii="Arial" w:hAnsi="Arial"/>
          <w:sz w:val="22"/>
        </w:rPr>
        <w:t>Material Cost Consumption Report  (or fold into CEO Flow)</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