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32"/>
        </w:rPr>
        <w:t>Functional Specification Documentation</w:t>
      </w:r>
    </w:p>
    <w:tbl>
      <w:tblPr>
        <w:tblStyle w:val="TableGrid"/>
        <w:tblW w:type="auto" w:w="0"/>
        <w:tblLook w:firstColumn="1" w:firstRow="1" w:lastColumn="0" w:lastRow="0" w:noHBand="0" w:noVBand="1" w:val="04A0"/>
      </w:tblPr>
      <w:tblGrid>
        <w:gridCol w:w="4986"/>
        <w:gridCol w:w="4986"/>
      </w:tblGrid>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DOCUMENT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SITE ACCOUNTANT FLOW</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PREPARED BY</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CWARE TECHNOLOGIES</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CLIENT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MATRACON</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PROJECT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ODOO ERP IMPLEMENTATION</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VERSION</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1.0.4</w:t>
            </w:r>
          </w:p>
        </w:tc>
      </w:tr>
    </w:tbl>
    <w:p/>
    <w:p>
      <w:r>
        <w:rPr>
          <w:rFonts w:ascii="Arial" w:hAnsi="Arial"/>
          <w:b/>
          <w:sz w:val="26"/>
        </w:rPr>
        <w:t>TABLE OF CONTENTS</w:t>
      </w:r>
    </w:p>
    <w:p>
      <w:r>
        <w:rPr>
          <w:rFonts w:ascii="Arial" w:hAnsi="Arial"/>
        </w:rPr>
        <w:t>Introduction:</w:t>
      </w:r>
      <w:r>
        <w:rPr>
          <w:rFonts w:ascii="Arial" w:hAnsi="Arial"/>
        </w:rPr>
        <w:tab/>
        <w:t>2</w:t>
      </w:r>
    </w:p>
    <w:p>
      <w:r>
        <w:rPr>
          <w:rFonts w:ascii="Arial" w:hAnsi="Arial"/>
        </w:rPr>
        <w:t>Current Users:</w:t>
      </w:r>
      <w:r>
        <w:rPr>
          <w:rFonts w:ascii="Arial" w:hAnsi="Arial"/>
        </w:rPr>
        <w:tab/>
        <w:t>2</w:t>
      </w:r>
    </w:p>
    <w:p>
      <w:r>
        <w:rPr>
          <w:rFonts w:ascii="Arial" w:hAnsi="Arial"/>
        </w:rPr>
        <w:t>Processes Include:</w:t>
      </w:r>
      <w:r>
        <w:rPr>
          <w:rFonts w:ascii="Arial" w:hAnsi="Arial"/>
        </w:rPr>
        <w:tab/>
        <w:t>2</w:t>
      </w:r>
    </w:p>
    <w:p>
      <w:r>
        <w:rPr>
          <w:rFonts w:ascii="Arial" w:hAnsi="Arial"/>
        </w:rPr>
        <w:t>1.  IPC — Interim Payment Certificate</w:t>
      </w:r>
      <w:r>
        <w:rPr>
          <w:rFonts w:ascii="Arial" w:hAnsi="Arial"/>
        </w:rPr>
        <w:tab/>
        <w:t>3</w:t>
      </w:r>
    </w:p>
    <w:p>
      <w:r>
        <w:rPr>
          <w:rFonts w:ascii="Arial" w:hAnsi="Arial"/>
        </w:rPr>
        <w:t>2.  Subcontractor Backcharge</w:t>
      </w:r>
      <w:r>
        <w:rPr>
          <w:rFonts w:ascii="Arial" w:hAnsi="Arial"/>
        </w:rPr>
        <w:tab/>
        <w:t>4</w:t>
      </w:r>
    </w:p>
    <w:p>
      <w:r>
        <w:rPr>
          <w:rFonts w:ascii="Arial" w:hAnsi="Arial"/>
        </w:rPr>
        <w:t>3.  Employee Backcharge</w:t>
      </w:r>
      <w:r>
        <w:rPr>
          <w:rFonts w:ascii="Arial" w:hAnsi="Arial"/>
        </w:rPr>
        <w:tab/>
        <w:t>5</w:t>
      </w:r>
    </w:p>
    <w:p>
      <w:r>
        <w:rPr>
          <w:rFonts w:ascii="Arial" w:hAnsi="Arial"/>
        </w:rPr>
        <w:t>4.  Update Vendor Ledger &amp; Liability Sheet</w:t>
      </w:r>
      <w:r>
        <w:rPr>
          <w:rFonts w:ascii="Arial" w:hAnsi="Arial"/>
        </w:rPr>
        <w:tab/>
        <w:t>6</w:t>
      </w:r>
    </w:p>
    <w:p>
      <w:r>
        <w:rPr>
          <w:rFonts w:ascii="Arial" w:hAnsi="Arial"/>
        </w:rPr>
        <w:t>5.  Update Subcontractors Ledger &amp; Liability Sheet</w:t>
      </w:r>
      <w:r>
        <w:rPr>
          <w:rFonts w:ascii="Arial" w:hAnsi="Arial"/>
        </w:rPr>
        <w:tab/>
        <w:t>7</w:t>
      </w:r>
    </w:p>
    <w:p>
      <w:r>
        <w:rPr>
          <w:rFonts w:ascii="Arial" w:hAnsi="Arial"/>
        </w:rPr>
        <w:t>6.  Customer Invoice</w:t>
      </w:r>
      <w:r>
        <w:rPr>
          <w:rFonts w:ascii="Arial" w:hAnsi="Arial"/>
        </w:rPr>
        <w:tab/>
        <w:t>8</w:t>
      </w:r>
    </w:p>
    <w:p>
      <w:r>
        <w:rPr>
          <w:rFonts w:ascii="Arial" w:hAnsi="Arial"/>
        </w:rPr>
        <w:t>7.  Miscellaneous Journal Entries</w:t>
      </w:r>
      <w:r>
        <w:rPr>
          <w:rFonts w:ascii="Arial" w:hAnsi="Arial"/>
        </w:rPr>
        <w:tab/>
        <w:t>9</w:t>
      </w:r>
    </w:p>
    <w:p>
      <w:r>
        <w:rPr>
          <w:rFonts w:ascii="Arial" w:hAnsi="Arial"/>
        </w:rPr>
        <w:t>8.  Petty Cash Management</w:t>
      </w:r>
      <w:r>
        <w:rPr>
          <w:rFonts w:ascii="Arial" w:hAnsi="Arial"/>
        </w:rPr>
        <w:tab/>
        <w:t>10</w:t>
      </w:r>
    </w:p>
    <w:p>
      <w:r>
        <w:rPr>
          <w:rFonts w:ascii="Arial" w:hAnsi="Arial"/>
        </w:rPr>
        <w:t>9.  Attendance of All Employees</w:t>
      </w:r>
      <w:r>
        <w:rPr>
          <w:rFonts w:ascii="Arial" w:hAnsi="Arial"/>
        </w:rPr>
        <w:tab/>
        <w:t>11</w:t>
      </w:r>
    </w:p>
    <w:p>
      <w:r>
        <w:rPr>
          <w:rFonts w:ascii="Arial" w:hAnsi="Arial"/>
        </w:rPr>
        <w:t>10. Salary Slips &amp; Monthly Salary Sheet</w:t>
      </w:r>
      <w:r>
        <w:rPr>
          <w:rFonts w:ascii="Arial" w:hAnsi="Arial"/>
        </w:rPr>
        <w:tab/>
        <w:t>12</w:t>
      </w:r>
    </w:p>
    <w:p>
      <w:r>
        <w:rPr>
          <w:rFonts w:ascii="Arial" w:hAnsi="Arial"/>
        </w:rPr>
        <w:t>11. Employee Creation</w:t>
      </w:r>
      <w:r>
        <w:rPr>
          <w:rFonts w:ascii="Arial" w:hAnsi="Arial"/>
        </w:rPr>
        <w:tab/>
        <w:t>13</w:t>
      </w:r>
    </w:p>
    <w:p>
      <w:r>
        <w:rPr>
          <w:rFonts w:ascii="Arial" w:hAnsi="Arial"/>
        </w:rPr>
        <w:t>Management Dashboard:</w:t>
      </w:r>
      <w:r>
        <w:rPr>
          <w:rFonts w:ascii="Arial" w:hAnsi="Arial"/>
        </w:rPr>
        <w:tab/>
        <w:t>14</w:t>
      </w:r>
    </w:p>
    <w:p/>
    <w:p>
      <w:pPr>
        <w:pStyle w:val="Heading1"/>
      </w:pPr>
      <w:r>
        <w:rPr>
          <w:rFonts w:ascii="Arial" w:hAnsi="Arial"/>
        </w:rPr>
        <w:t>Introduction:</w:t>
      </w:r>
    </w:p>
    <w:p>
      <w:r>
        <w:rPr>
          <w:rFonts w:ascii="Arial" w:hAnsi="Arial"/>
          <w:sz w:val="22"/>
        </w:rPr>
        <w:t>This document outlines the end-to-end user flow for the Site Accountant role within the MATRACON Odoo ERP implementation, developed by CWare Technologies. It serves as a functional reference for how site accountants across all active project sites will interact with the system. The processes covered include IPC creation for subcontractors, backcharge management, vendor and subcontractor ledger updates, customer invoices, miscellaneous journal entries, petty cash management, attendance tracking, salary processing, and employee creation.</w:t>
      </w:r>
    </w:p>
    <w:p>
      <w:pPr>
        <w:pStyle w:val="Heading2"/>
      </w:pPr>
      <w:r>
        <w:rPr>
          <w:rFonts w:ascii="Arial" w:hAnsi="Arial"/>
        </w:rPr>
        <w:t>Current Users:</w:t>
      </w:r>
    </w:p>
    <w:p>
      <w:pPr>
        <w:pStyle w:val="ListBullet"/>
      </w:pPr>
      <w:r>
        <w:rPr>
          <w:rFonts w:ascii="Arial" w:hAnsi="Arial"/>
          <w:sz w:val="22"/>
        </w:rPr>
        <w:t>Shah G (BF Tower)</w:t>
      </w:r>
    </w:p>
    <w:p>
      <w:pPr>
        <w:pStyle w:val="ListBullet"/>
      </w:pPr>
      <w:r>
        <w:rPr>
          <w:rFonts w:ascii="Arial" w:hAnsi="Arial"/>
          <w:sz w:val="22"/>
        </w:rPr>
        <w:t>Waqas (RWASA)</w:t>
      </w:r>
    </w:p>
    <w:p>
      <w:pPr>
        <w:pStyle w:val="ListBullet"/>
      </w:pPr>
      <w:r>
        <w:rPr>
          <w:rFonts w:ascii="Arial" w:hAnsi="Arial"/>
          <w:sz w:val="22"/>
        </w:rPr>
        <w:t>Ibrahim (STP Mardan)</w:t>
      </w:r>
    </w:p>
    <w:p>
      <w:pPr>
        <w:pStyle w:val="Heading2"/>
      </w:pPr>
      <w:r>
        <w:rPr>
          <w:rFonts w:ascii="Arial" w:hAnsi="Arial"/>
        </w:rPr>
        <w:t>Processes Include:</w:t>
      </w:r>
    </w:p>
    <w:p>
      <w:pPr>
        <w:pStyle w:val="ListBullet"/>
      </w:pPr>
      <w:r>
        <w:rPr>
          <w:rFonts w:ascii="Arial" w:hAnsi="Arial"/>
          <w:sz w:val="22"/>
        </w:rPr>
        <w:t>IPC — Interim Payment Certificate</w:t>
      </w:r>
    </w:p>
    <w:p>
      <w:pPr>
        <w:pStyle w:val="ListBullet"/>
      </w:pPr>
      <w:r>
        <w:rPr>
          <w:rFonts w:ascii="Arial" w:hAnsi="Arial"/>
          <w:sz w:val="22"/>
        </w:rPr>
        <w:t>Subcontractor Backcharge</w:t>
      </w:r>
    </w:p>
    <w:p>
      <w:pPr>
        <w:pStyle w:val="ListBullet"/>
      </w:pPr>
      <w:r>
        <w:rPr>
          <w:rFonts w:ascii="Arial" w:hAnsi="Arial"/>
          <w:sz w:val="22"/>
        </w:rPr>
        <w:t>Employee Backcharge</w:t>
      </w:r>
    </w:p>
    <w:p>
      <w:pPr>
        <w:pStyle w:val="ListBullet"/>
      </w:pPr>
      <w:r>
        <w:rPr>
          <w:rFonts w:ascii="Arial" w:hAnsi="Arial"/>
          <w:sz w:val="22"/>
        </w:rPr>
        <w:t>Update Vendor Ledger &amp; Liability Sheet</w:t>
      </w:r>
    </w:p>
    <w:p>
      <w:pPr>
        <w:pStyle w:val="ListBullet"/>
      </w:pPr>
      <w:r>
        <w:rPr>
          <w:rFonts w:ascii="Arial" w:hAnsi="Arial"/>
          <w:sz w:val="22"/>
        </w:rPr>
        <w:t>Update Subcontractors Ledger &amp; Liability Sheet</w:t>
      </w:r>
    </w:p>
    <w:p>
      <w:pPr>
        <w:pStyle w:val="ListBullet"/>
      </w:pPr>
      <w:r>
        <w:rPr>
          <w:rFonts w:ascii="Arial" w:hAnsi="Arial"/>
          <w:sz w:val="22"/>
        </w:rPr>
        <w:t>Customer Invoice</w:t>
      </w:r>
    </w:p>
    <w:p>
      <w:pPr>
        <w:pStyle w:val="ListBullet"/>
      </w:pPr>
      <w:r>
        <w:rPr>
          <w:rFonts w:ascii="Arial" w:hAnsi="Arial"/>
          <w:sz w:val="22"/>
        </w:rPr>
        <w:t>Miscellaneous Journal Entries</w:t>
      </w:r>
    </w:p>
    <w:p>
      <w:pPr>
        <w:pStyle w:val="ListBullet"/>
      </w:pPr>
      <w:r>
        <w:rPr>
          <w:rFonts w:ascii="Arial" w:hAnsi="Arial"/>
          <w:sz w:val="22"/>
        </w:rPr>
        <w:t>Petty Cash Management</w:t>
      </w:r>
    </w:p>
    <w:p>
      <w:pPr>
        <w:pStyle w:val="ListBullet"/>
      </w:pPr>
      <w:r>
        <w:rPr>
          <w:rFonts w:ascii="Arial" w:hAnsi="Arial"/>
          <w:sz w:val="22"/>
        </w:rPr>
        <w:t>Attendance of All Employees</w:t>
      </w:r>
    </w:p>
    <w:p>
      <w:pPr>
        <w:pStyle w:val="ListBullet"/>
      </w:pPr>
      <w:r>
        <w:rPr>
          <w:rFonts w:ascii="Arial" w:hAnsi="Arial"/>
          <w:sz w:val="22"/>
        </w:rPr>
        <w:t>Salary Slips &amp; Monthly Salary Sheet</w:t>
      </w:r>
    </w:p>
    <w:p>
      <w:pPr>
        <w:pStyle w:val="ListBullet"/>
      </w:pPr>
      <w:r>
        <w:rPr>
          <w:rFonts w:ascii="Arial" w:hAnsi="Arial"/>
          <w:sz w:val="22"/>
        </w:rPr>
        <w:t>Employee Creation</w:t>
      </w:r>
    </w:p>
    <w:p>
      <w:pPr>
        <w:pStyle w:val="Heading3"/>
      </w:pPr>
      <w:r>
        <w:rPr>
          <w:rFonts w:ascii="Arial" w:hAnsi="Arial"/>
        </w:rPr>
        <w:t>1.  IPC — Interim Payment Certificate</w:t>
      </w:r>
    </w:p>
    <w:p>
      <w:r>
        <w:rPr>
          <w:rFonts w:ascii="Arial" w:hAnsi="Arial"/>
          <w:sz w:val="22"/>
        </w:rPr>
        <w:t>The IPC is the formal subcontractor billing document. The site accountant creates an IPC for each subcontractor billing period, enters work done quantities against each BOQ item, and the system computes the certified value, retention, backcharges, and net payable. The CEO/MD approves the IPC to lock the payable amount.</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New IPC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Open a new IPC record for the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Subcontractor name, Project site, IPC period (date)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x.subcontractor.ipc record; auto-generate IPC number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New IPC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One IPC per subcontractor per billing period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Enter Work Done Quantities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Enter quantities of work completed per BOQ item in this period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BOQ item list, quantities completed this period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computes: this period qty × unit rate = this period value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Work done per BOQ item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Quantities are cumulative from contract start; system computes this-period delta</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Compute Gross Certified Value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computes total gross value certified this IPC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Work done quantities, BOQ unit rates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Sum(qty × rate) across all BOQ items = gross certified this IPC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Gross certified value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Excludes retention and deductions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Apply Retention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deducts retention percentage from gross certified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Gross value, Retention %</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Retention = gross × retention%; net after retention = gross − retention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Retention amount; net after retention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Retention % is set on the subcontractor contract / IPC header</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Pull Backcharge Deductions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auto-populates backcharge records for this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All open x.subcontractor.backcharge records for this subcontractor + project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List all undeducted backcharges on IPC; site accountant confirms which to deduct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lines on IPC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Backcharges raised by site accountant or from 3rd party returns</w:t>
            </w:r>
          </w:p>
        </w:tc>
      </w:tr>
      <w:tr>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Compute Payment Recovery</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computes total payments already made to subcontractor</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All vendor payments + petty cash advances to this subcontractor up to IPC date</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Query GL for debits to subcontractor payable account up to this IPC date; show prev IPC total and this IPC total</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Payments made (prev) and payments made (current)</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Payment Recovery = payments this period − payments previous IPC period</w:t>
            </w:r>
          </w:p>
        </w:tc>
      </w:tr>
      <w:tr>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Calculate Net Payable</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computes final amount payable this IPC</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Gross − Retention − Backcharges − Payment Recovery</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Net payable = gross − retention − total deductions</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Net payable amount</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This amount feeds into the subcontractor liability sheet</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 for CEO/MD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 submits IPC for CEO/MD review and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Completed IPC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Change IPC status to Submitted; notify CEO/MD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IPC submitted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CEO/MD must approve before Finance HO can pay</w:t>
            </w:r>
          </w:p>
        </w:tc>
      </w:tr>
      <w:tr>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CEO/MD Approval</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CEO/MD reviews and approves the IPC</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Submitted IPC</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On approval: lock IPC, update subcontractor liability sheet with net payable</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IPC approved and locked</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Yes — CEO/MD</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Finance HO pays based on locked net payable from liability sheet</w:t>
            </w:r>
          </w:p>
        </w:tc>
      </w:tr>
    </w:tbl>
    <w:p/>
    <w:p>
      <w:r>
        <w:rPr>
          <w:rFonts w:ascii="Arial" w:hAnsi="Arial"/>
          <w:b/>
          <w:sz w:val="20"/>
        </w:rPr>
        <w:t>Expected Odoo View:</w:t>
      </w:r>
    </w:p>
    <w:p>
      <w:r>
        <w:rPr>
          <w:rFonts w:ascii="Arial" w:hAnsi="Arial"/>
          <w:sz w:val="20"/>
        </w:rPr>
        <w:t>Subcontractor → IPC Records → New IPC | Subcontractor → Liability Sheet</w:t>
      </w:r>
    </w:p>
    <w:p/>
    <w:p>
      <w:pPr>
        <w:pStyle w:val="Heading3"/>
      </w:pPr>
      <w:r>
        <w:rPr>
          <w:rFonts w:ascii="Arial" w:hAnsi="Arial"/>
        </w:rPr>
        <w:t>2.  Subcontractor Backcharge</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Identify Backcharge Reason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 identifies reason for raising a backcharge against the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Damaged/lost asset reference, poor quality work report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Document the reason for backcharge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reason identified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Reasons include: asset not returned, asset damaged, substandard quality work</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Backcharge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a new x.subcontractor.backcharge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Subcontractor, Project, Description, Amount, 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backcharge record; auto-generate reference number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record created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Description field is mandatory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Confirm Backcharge Amount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Verify the backcharge amount with site management if needed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Asset cost, repair cost, or agreed penalty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Set final backcharge amount; confirm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Amount confirmed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Amount = cost of asset or repair estimate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Auto-Linked to Next IPC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When next IPC is created the backcharge appears automatically as a deduction line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Open backcharge records for this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IPC creation pulls all undeducted backcharges for this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on IPC deduction list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 confirms which backcharges to apply in this IPC</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Status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After deduction in IPC, backcharge is marked as deducted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IPC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Set backcharge status = Deducted; link to IPC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status = Deducted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Cannot be deducted again in future IPCs</w:t>
            </w:r>
          </w:p>
        </w:tc>
      </w:tr>
    </w:tbl>
    <w:p/>
    <w:p>
      <w:r>
        <w:rPr>
          <w:rFonts w:ascii="Arial" w:hAnsi="Arial"/>
          <w:b/>
          <w:sz w:val="20"/>
        </w:rPr>
        <w:t>Expected Odoo View:</w:t>
      </w:r>
    </w:p>
    <w:p>
      <w:r>
        <w:rPr>
          <w:rFonts w:ascii="Arial" w:hAnsi="Arial"/>
          <w:sz w:val="20"/>
        </w:rPr>
        <w:t>Subcontractor → Backcharges → New</w:t>
      </w:r>
    </w:p>
    <w:p/>
    <w:p>
      <w:pPr>
        <w:pStyle w:val="Heading3"/>
      </w:pPr>
      <w:r>
        <w:rPr>
          <w:rFonts w:ascii="Arial" w:hAnsi="Arial"/>
        </w:rPr>
        <w:t>3.  Employee Backcharge</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Identify Damaged or Lost Asset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 identifies that an employee has damaged or not returned an issued asset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Issuance record, damage report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Cross-reference issuance record with return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Damage/loss confirmed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Based on stock issuance record and physical inspection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Employee Backcharge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a new x.employee.backcharge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Project, Description, Amount, Date, Asset reference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backcharge record; auto-generate reference number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record created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Description is mandatory; links to the issued asset</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Set Backcharge Amount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Set the amount to recover from the employee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Replacement cost or repair cost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Enter amount; confirm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Amount set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Amount will be deducted from salary in monthly salary sheet</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Auto-Feed to Salary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Outstanding employee backcharge balance automatically appears in the monthly salary sheet as a deduction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backcharge records with outstanding balance &gt; 0</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Salary sheet pulls outstanding backcharge per employee; deducts from net salary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deduction on salary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is notified via salary slip showing the deduction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Closure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is closed once fully recovered through salary deductions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Monthly deductions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reduces outstanding balance each month until zero; auto-closes when fully recovered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closed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Partial monthly deductions supported if full amount exceeds monthly salary</w:t>
            </w:r>
          </w:p>
        </w:tc>
      </w:tr>
    </w:tbl>
    <w:p/>
    <w:p>
      <w:r>
        <w:rPr>
          <w:rFonts w:ascii="Arial" w:hAnsi="Arial"/>
          <w:b/>
          <w:sz w:val="20"/>
        </w:rPr>
        <w:t>Expected Odoo View:</w:t>
      </w:r>
    </w:p>
    <w:p>
      <w:r>
        <w:rPr>
          <w:rFonts w:ascii="Arial" w:hAnsi="Arial"/>
          <w:sz w:val="20"/>
        </w:rPr>
        <w:t>HR → Employee Backcharges → New</w:t>
      </w:r>
    </w:p>
    <w:p/>
    <w:p>
      <w:pPr>
        <w:pStyle w:val="Heading3"/>
      </w:pPr>
      <w:r>
        <w:rPr>
          <w:rFonts w:ascii="Arial" w:hAnsi="Arial"/>
        </w:rPr>
        <w:t>4.  Update Vendor Ledger &amp; Liability Sheet</w:t>
      </w:r>
    </w:p>
    <w:p>
      <w:r>
        <w:rPr>
          <w:rFonts w:ascii="Arial" w:hAnsi="Arial"/>
          <w:sz w:val="22"/>
        </w:rPr>
        <w:t>Once materials are received and vendor invoice arrives, the site accountant creates the payable entry.</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Vendor Invoice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vendor claim after material receipt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GRN, Vendor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liability entry (no invoice number dependency)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Vendor liability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Liability-based system only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Creation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payable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Total Amount, Vendor Info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full liability amount only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sheet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 invoice number required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Tax &amp; Exemption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tax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Tax Type, Exemption Cert No, Validity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 tax + exemption data</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Tax tagged liability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 fields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Vendor Ledger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ledger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Amount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Post payable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Updated ledger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Financial record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Sheet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HO visibility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Ledger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Show total + remaining after recommendation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Remaining must be visible to Finance HO</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 Paid Flag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trigger after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Mark payable as auto-ready for finance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Auto-paid status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 manual invoice payment</w:t>
            </w:r>
          </w:p>
        </w:tc>
      </w:tr>
    </w:tbl>
    <w:p/>
    <w:p>
      <w:r>
        <w:rPr>
          <w:rFonts w:ascii="Arial" w:hAnsi="Arial"/>
          <w:sz w:val="22"/>
        </w:rPr>
        <w:t>Expected Odoo View:</w:t>
      </w:r>
    </w:p>
    <w:p>
      <w:r>
        <w:rPr>
          <w:rFonts w:ascii="Arial" w:hAnsi="Arial"/>
          <w:sz w:val="22"/>
        </w:rPr>
        <w:t>Accounting → Vendors → Bills → New | Liability Sheet → Site view</w:t>
      </w:r>
    </w:p>
    <w:p/>
    <w:p>
      <w:pPr>
        <w:pStyle w:val="Heading3"/>
      </w:pPr>
      <w:r>
        <w:rPr>
          <w:rFonts w:ascii="Arial" w:hAnsi="Arial"/>
        </w:rPr>
        <w:t>5.  Update Subcontractors Ledger &amp; Liability Sheet</w:t>
      </w:r>
    </w:p>
    <w:p>
      <w:r>
        <w:rPr>
          <w:rFonts w:ascii="Arial" w:hAnsi="Arial"/>
          <w:sz w:val="22"/>
        </w:rPr>
        <w:t>After IPC is approved by CEO/MD, the site accountant ensures the subcontractor liability is correctly reflected.</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IPC (Post CEO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IPC has been approved by CEO/MD; net payable is locked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IPC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auto-creates subcontractor liability record from approved IPC net payable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record created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Auto-created on IPC approval</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Creation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payable entry from IPC net payable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IPC net payable value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liability amount from IPC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Net liability only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Tax &amp; Exemption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tax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Tax Type, Certificate No, Validity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 tax data</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Tax tagged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Verification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Verify backcharges are correctly reflected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IPC backcharge lines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Confirm all backcharges are deducted in IPC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record confirmed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Backcharges are deducted at IPC level, not liability level</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Withheld Amount Tracking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Track security hold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Previous IPC Data</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Hold/release logic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Withheld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Released in next IPC</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Retention Calculation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Apply retention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IPC Value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 deduction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Retention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Standard % logic</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Advance Adjustment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Adjust advance recovery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Advance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Deduct advance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Adjusted liability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 deduction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Ledger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subcontractor ledger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Net Payable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Post final amount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Updated ledger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Final payable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Sheet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HO view</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Ledger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Show remaining after recommendation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Remaining visible to Finance HO and CEO</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 Paid Flag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trigger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Mark payable auto-ready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Auto-paid status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 invoice dependency</w:t>
            </w:r>
          </w:p>
        </w:tc>
      </w:tr>
    </w:tbl>
    <w:p/>
    <w:p>
      <w:r>
        <w:rPr>
          <w:rFonts w:ascii="Arial" w:hAnsi="Arial"/>
          <w:sz w:val="22"/>
        </w:rPr>
        <w:t>Removed the recommended field while updating;</w:t>
      </w:r>
    </w:p>
    <w:p>
      <w:r>
        <w:rPr>
          <w:rFonts w:ascii="Arial" w:hAnsi="Arial"/>
          <w:b/>
          <w:sz w:val="20"/>
        </w:rPr>
        <w:t>Expected Odoo View:</w:t>
      </w:r>
    </w:p>
    <w:p>
      <w:r>
        <w:rPr>
          <w:rFonts w:ascii="Arial" w:hAnsi="Arial"/>
          <w:sz w:val="20"/>
        </w:rPr>
        <w:t>Subcontractor → Liability Sheet | Accounting → Vendors → Subcontractor Payables</w:t>
      </w:r>
    </w:p>
    <w:p/>
    <w:p>
      <w:pPr>
        <w:pStyle w:val="Heading3"/>
      </w:pPr>
      <w:r>
        <w:rPr>
          <w:rFonts w:ascii="Arial" w:hAnsi="Arial"/>
        </w:rPr>
        <w:t>6.  Customer Invoice</w:t>
      </w:r>
    </w:p>
    <w:p>
      <w:r>
        <w:rPr>
          <w:rFonts w:ascii="Arial" w:hAnsi="Arial"/>
          <w:sz w:val="22"/>
        </w:rPr>
        <w:t>Site accountants create customer invoices (out_invoice) to bill the project client for work completed. The analytic account auto-fills from the header project field.</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Open Customer Invoice Form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Navigate to customer invoice form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User access, project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Open Accounting → Customers → Invoices → New</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Blank invoice form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 sees own site invoices only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Select Customer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Select the customer (client) being billed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Customer name (res.partner)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Select client from dropdown; populate payment terms from customer master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Customer selected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Customer must be registered in the system</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Set Project Analytic Account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Select the project analytic account for this invoice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Project analytic account (x_project_analytic_account_id)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Auto-fills from site accountant's default project; can be changed if needed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Project set on invoice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Analytic propagates to all invoice lines automatically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Invoice Lines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Enter the items/services being billed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 or service description, quantity, unit price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lines; analytic auto-fills on each line from header (read-only for site accountant)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Invoice lines added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Analytic column is read-only on lines; controlled by header project field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Taxes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Apply applicable taxes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Tax selection per line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Apply sales tax or WHT as applicable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Tax applied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As per contract terms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Confirm Invoice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Post the customer invoice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Completed invoice form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Validate and post; create GL entries; update customer ledger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Invoice posted; customer ledger updated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Posted invoice appears in partner ledger and liability reports</w:t>
            </w:r>
          </w:p>
        </w:tc>
      </w:tr>
    </w:tbl>
    <w:p/>
    <w:p>
      <w:r>
        <w:rPr>
          <w:rFonts w:ascii="Arial" w:hAnsi="Arial"/>
          <w:b/>
          <w:sz w:val="20"/>
        </w:rPr>
        <w:t>Expected Odoo View:</w:t>
      </w:r>
    </w:p>
    <w:p>
      <w:r>
        <w:rPr>
          <w:rFonts w:ascii="Arial" w:hAnsi="Arial"/>
          <w:sz w:val="20"/>
        </w:rPr>
        <w:t>Accounting → Customers → Invoices → New</w:t>
      </w:r>
    </w:p>
    <w:p/>
    <w:p>
      <w:pPr>
        <w:pStyle w:val="Heading3"/>
      </w:pPr>
      <w:r>
        <w:rPr>
          <w:rFonts w:ascii="Arial" w:hAnsi="Arial"/>
        </w:rPr>
        <w:t>7.  Miscellaneous Journal Entries</w:t>
      </w:r>
    </w:p>
    <w:p>
      <w:r>
        <w:rPr>
          <w:rFonts w:ascii="Arial" w:hAnsi="Arial"/>
          <w:sz w:val="22"/>
        </w:rPr>
        <w:t>Site accountants create miscellaneous (MISC) journal entries for adjustments, accruals, and other accounting entries not covered by vendor bills or customer invoices.</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Open Journal Entry Form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Navigate to journal entry form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User access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Open Accounting → Accounting → Journal Entries → New</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Blank journal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MISC type (entry) — not a bill or invoice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Set Date and Journal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Enter journal entry date and select the journal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Date, Journal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Set date; select journal (e.g. Miscellaneous)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Date and journal set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Due date and payment terms are hidden for journal entries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Analytic Auto-Fill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Analytic account auto-fills from site accountant's default project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accountant's default analytic account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auto-fills x_project_analytic_account_id from user default; propagates to all lines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Analytic pre-filled on header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 cannot change analytic — it is read-only in the journal entry form</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Debit and Credit Lines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Enter the accounting lines for the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GL accounts, amounts, descriptions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lines; analytic_distribution auto-fills on each line from header (read-only)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Journal entry lines added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Payable/receivable accounts can be used freely — no due date validation error</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Description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Enter a description/narration for the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Free-text description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description on journal entry header and/or individual lines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Description saved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 for audit trail</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Post Journal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Confirm and post the journal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Completed and balanced journal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Validate; create GL postings; analytic distribution propagates to line level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Journal entry posted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Analytic distribution on lines enables project-wise cost tracking</w:t>
            </w:r>
          </w:p>
        </w:tc>
      </w:tr>
    </w:tbl>
    <w:p/>
    <w:p>
      <w:r>
        <w:rPr>
          <w:rFonts w:ascii="Arial" w:hAnsi="Arial"/>
          <w:b/>
          <w:sz w:val="20"/>
        </w:rPr>
        <w:t>Expected Odoo View:</w:t>
      </w:r>
    </w:p>
    <w:p>
      <w:r>
        <w:rPr>
          <w:rFonts w:ascii="Arial" w:hAnsi="Arial"/>
          <w:sz w:val="20"/>
        </w:rPr>
        <w:t>Accounting → Accounting → Journal Entries → New (type: Miscellaneous)</w:t>
      </w:r>
    </w:p>
    <w:p/>
    <w:p>
      <w:pPr>
        <w:pStyle w:val="Heading3"/>
      </w:pPr>
      <w:r>
        <w:rPr>
          <w:rFonts w:ascii="Arial" w:hAnsi="Arial"/>
        </w:rPr>
        <w:t>8.  Petty Cash Management</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Petty Cash Request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Request petty cash funds from Finance HO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Requirement, Current Balance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petty cash request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Request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initiated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Validate request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Cash Position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Check eligibility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Verified request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Control check</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Release Cash</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Release funds from Finance HO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Verified request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Process payment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Cash released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Finance Manager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Cheque/bank</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Receipt Confirmation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Confirm receipt of petty cash</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Cheque/Bank Ref</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Mark received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Updated balance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After receipt</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Expense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petty cash expenses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Daily expenses, Receipts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Log expense entries with category, amount, and description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Expense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Each expense must have a receipt</w:t>
            </w:r>
          </w:p>
        </w:tc>
      </w:tr>
      <w:tr>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Subcontractor Advance via Petty Cash</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Mark a petty cash expense as a subcontractor advance</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Subcontractor name, amount</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Check "Subcontractor Advance" on expense line; select subcontractor; expense account auto-fills to subcontractor payable; posted JE debits subcontractor payable account</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Expense posted; subcontractor payable debited</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This debit is automatically captured in IPC "Payments Made" computation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Balance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petty cash balance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All expenses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Auto-calculate closing balance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Closing balance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controlled</w:t>
            </w:r>
          </w:p>
        </w:tc>
      </w:tr>
    </w:tbl>
    <w:p/>
    <w:p>
      <w:r>
        <w:rPr>
          <w:rFonts w:ascii="Arial" w:hAnsi="Arial"/>
          <w:b/>
          <w:sz w:val="20"/>
        </w:rPr>
        <w:t>Expected Odoo View:</w:t>
      </w:r>
    </w:p>
    <w:p>
      <w:r>
        <w:rPr>
          <w:rFonts w:ascii="Arial" w:hAnsi="Arial"/>
          <w:sz w:val="20"/>
        </w:rPr>
        <w:t>Finance → Petty Cash → Site Petty Cash | Expense Form → Subcontractor Advance checkbox</w:t>
      </w:r>
    </w:p>
    <w:p/>
    <w:p>
      <w:pPr>
        <w:pStyle w:val="Heading3"/>
      </w:pPr>
      <w:r>
        <w:rPr>
          <w:rFonts w:ascii="Arial" w:hAnsi="Arial"/>
        </w:rPr>
        <w:t>9.  Attendance of All Employees</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Master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Maintain site workforce list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List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Single combined labour/staff list for the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master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All employees on site must be in the system before attendance can be marked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Daily Attendance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Mark daily attendance for all employees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Daily Status per employee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Present, Absent, Leave, or Public Holiday status for each employee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Attendance log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 is the only user who marks attendance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Attendance Validation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Validate monthly attendance data</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Attendance sheet for the month</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Review and confirm all daily entries; set attendance sheet status = Validated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Validated attendance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Salary sheet cannot be processed until attendance is validated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Monthly Attendance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Maintain monthly attendance registry per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Daily attendance entries for the month</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Aggregate daily status into monthly attendance sheet (x.attendance.sheet); compute monthly totals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Monthly attendance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One attendance sheet per site per month</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Monthly Summary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monthly attendance summary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Monthly attendance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Calculate totals: days present, days absent, leaves taken per employee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Summary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Used for salary computation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Average Employees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Calculate average manpower for the month</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Monthly headcount entries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Avg employees = total employee-days / working days in month</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Avg employee count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Monthly and period-based calculation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Present Average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Calculate average daily attendance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Daily present count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Compute average employees present per day across the month</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Avg present count report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Includes all calendar days</w:t>
            </w:r>
          </w:p>
        </w:tc>
      </w:tr>
    </w:tbl>
    <w:p/>
    <w:p>
      <w:r>
        <w:rPr>
          <w:rFonts w:ascii="Arial" w:hAnsi="Arial"/>
          <w:b/>
          <w:sz w:val="20"/>
        </w:rPr>
        <w:t>Expected Odoo View:</w:t>
      </w:r>
    </w:p>
    <w:p>
      <w:r>
        <w:rPr>
          <w:rFonts w:ascii="Arial" w:hAnsi="Arial"/>
          <w:sz w:val="20"/>
        </w:rPr>
        <w:t>HR → Attendance → Monthly Attendance Sheets | HR → Attendance → Daily Attendance</w:t>
      </w:r>
    </w:p>
    <w:p/>
    <w:p>
      <w:pPr>
        <w:pStyle w:val="Heading3"/>
      </w:pPr>
      <w:r>
        <w:rPr>
          <w:rFonts w:ascii="Arial" w:hAnsi="Arial"/>
        </w:rPr>
        <w:t>10.  Salary Slips &amp; Monthly Salary Sheet</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Monthly Salary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monthly salary sheet for the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Month/Year, Validated attendance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Open x.salary.sheet; employee lines auto-populated from attendance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Salary sheet opened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Attendance must be validated first; one salary sheet per site per month</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Salary Calculation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Compute gross salary per employee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Attendance data, salary master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Gross salary = (monthly salary / total days) × days present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Gross salary per employee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Attendance-based computation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Advance Deduction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Deduct salary advances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Advance records for each employee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Auto-deduct outstanding salary advances from gross salary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Net after advances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Only advances recorded in system are deducted</w:t>
            </w:r>
          </w:p>
        </w:tc>
      </w:tr>
      <w:tr>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Backcharge Deduction</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Deduct outstanding employee backcharges</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backcharge records</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Auto-deduct outstanding backcharge balance from net salary</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Net after backcharges</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Partial deduction if backcharge &gt; net salary; remainder carries to next month</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Salary Adjustments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Apply any approved salary corrections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Adjustment data,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or deduct adjustment amounts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Adjusted salary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adjustments only</w:t>
            </w:r>
          </w:p>
        </w:tc>
      </w:tr>
      <w:tr>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Salary WHT (Section 149)</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Compute income tax on taxable salary</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Gross salary, Section 149 tax slab</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Apply WHT slab; deduct from net salary; auto-generate WHT certificate per employee</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Net after WHT; WHT certificate created</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WHT certificate required for each employee where tax is deducted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Salary Slip Generation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individual salary slips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Final net salary per employee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printable salary slip per employee showing all earnings and deductions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Salary slips generated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One slip per employee per month</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Payroll Summary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Consolidate payroll for reporting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All salary sheet lines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Sum gross, total deductions, net payable, total WHT for the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Payroll summary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Reported to Finance HO and CEO dashboard</w:t>
            </w:r>
          </w:p>
        </w:tc>
      </w:tr>
    </w:tbl>
    <w:p/>
    <w:p>
      <w:r>
        <w:rPr>
          <w:rFonts w:ascii="Arial" w:hAnsi="Arial"/>
          <w:b/>
          <w:sz w:val="20"/>
        </w:rPr>
        <w:t>Expected Odoo View:</w:t>
      </w:r>
    </w:p>
    <w:p>
      <w:r>
        <w:rPr>
          <w:rFonts w:ascii="Arial" w:hAnsi="Arial"/>
          <w:sz w:val="20"/>
        </w:rPr>
        <w:t>HR → Payroll → Salary Sheets → New | Salary Sheet → Generate Slips</w:t>
      </w:r>
    </w:p>
    <w:p/>
    <w:p>
      <w:pPr>
        <w:pStyle w:val="Heading3"/>
      </w:pPr>
      <w:r>
        <w:rPr>
          <w:rFonts w:ascii="Arial" w:hAnsi="Arial"/>
        </w:rPr>
        <w:t>11.  Employee Creation</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Information Entry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employee profile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Name, CNIC, Job Position, Department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employee master data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does not require an Odoo user account</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Required Documents Upload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 mandatory employee documents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CNIC Copy, Supporting Documents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Upload documents against employee profile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Document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 for employee onboarding</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Card Generation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employee card from employee profile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Record, CNIC, Photo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generates printable employee card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card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card should be printable/exportable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Record Confirmation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Confirm employee profile completion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Employee Details, Documents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Mark employee record as completed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Completed employee profile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Required before payroll/attendance use</w:t>
            </w:r>
          </w:p>
        </w:tc>
      </w:tr>
    </w:tbl>
    <w:p/>
    <w:p>
      <w:r>
        <w:rPr>
          <w:rFonts w:ascii="Arial" w:hAnsi="Arial"/>
          <w:b/>
          <w:sz w:val="20"/>
        </w:rPr>
        <w:t>Expected Odoo View:</w:t>
      </w:r>
    </w:p>
    <w:p>
      <w:r>
        <w:rPr>
          <w:rFonts w:ascii="Arial" w:hAnsi="Arial"/>
          <w:sz w:val="20"/>
        </w:rPr>
        <w:t>HR → Employees → New | HR → Employees → Print Employee Card</w:t>
      </w:r>
    </w:p>
    <w:p/>
    <w:p>
      <w:pPr>
        <w:pStyle w:val="Heading2"/>
      </w:pPr>
      <w:r>
        <w:rPr>
          <w:rFonts w:ascii="Arial" w:hAnsi="Arial"/>
        </w:rPr>
        <w:t>Management Dashboard:</w:t>
      </w:r>
    </w:p>
    <w:p>
      <w:r>
        <w:rPr>
          <w:rFonts w:ascii="Arial" w:hAnsi="Arial"/>
          <w:sz w:val="22"/>
        </w:rPr>
        <w:t>The Site Accountant dashboard shows: site liability totals (vendor + subcontractor), pending IPCs awaiting submission, petty cash balance, attendance status for current month, salary sheet status, open backcharges (subcontractor and employee), and recent journal entries.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