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3864"/>
          <w:sz w:val="72"/>
          <w:szCs w:val="72"/>
        </w:rPr>
        <w:t xml:space="preserve">FRACKS PROTOCOL</w:t>
      </w:r>
    </w:p>
    <w:p>
      <w:pPr>
        <w:spacing w:after="60" w:before="0"/>
        <w:jc w:val="center"/>
      </w:pPr>
      <w:r>
        <w:rPr>
          <w:rFonts w:ascii="Arial" w:cs="Arial" w:eastAsia="Arial" w:hAnsi="Arial"/>
          <w:b/>
          <w:bCs/>
          <w:color w:val="2E75B6"/>
          <w:sz w:val="40"/>
          <w:szCs w:val="40"/>
        </w:rPr>
        <w:t xml:space="preserve">Product Requirements Document</w:t>
      </w:r>
    </w:p>
    <w:p>
      <w:pPr>
        <w:spacing w:after="480" w:before="0"/>
        <w:jc w:val="center"/>
      </w:pPr>
      <w:r>
        <w:rPr>
          <w:rFonts w:ascii="Arial" w:cs="Arial" w:eastAsia="Arial" w:hAnsi="Arial"/>
          <w:i/>
          <w:iCs/>
          <w:color w:val="404040"/>
          <w:sz w:val="28"/>
          <w:szCs w:val="28"/>
        </w:rPr>
        <w:t xml:space="preserve">Permissioned Real-World Asset Token Standard on Solana</w:t>
      </w:r>
    </w:p>
    <w:p>
      <w:pPr>
        <w:pBdr>
          <w:top w:val="single" w:color="2E75B6" w:sz="6" w:space="1"/>
        </w:pBdr>
        <w:spacing w:after="0" w:before="0"/>
        <w:jc w:val="center"/>
      </w:pPr>
    </w:p>
    <w:p>
      <w:pPr>
        <w:spacing w:after="0" w:before="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Product Requirements Document (PRD)</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FRACKS Protocol — RWA Token on Solana</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1.0</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3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Anchor (Rust) / Solana / SPL Token-2022</w:t>
            </w:r>
          </w:p>
        </w:tc>
      </w:tr>
      <w:t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Prepared By</w:t>
            </w:r>
          </w:p>
        </w:tc>
        <w:tc>
          <w:tcPr>
            <w:tcW w:type="dxa" w:w="36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BeencoLabs</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1. Executive Summary</w:t>
      </w:r>
    </w:p>
    <w:p>
      <w:pPr>
        <w:spacing w:after="60" w:before="60"/>
      </w:pPr>
      <w:r>
        <w:rPr>
          <w:rFonts w:ascii="Arial" w:cs="Arial" w:eastAsia="Arial" w:hAnsi="Arial"/>
          <w:b w:val="false"/>
          <w:bCs w:val="false"/>
          <w:color w:val="000000"/>
          <w:sz w:val="22"/>
          <w:szCs w:val="22"/>
        </w:rPr>
        <w:t xml:space="preserve">FRACKS (Fully Regulated Access Control Knowledge Standard) is a Solana-native, compliance-by-design permissioned token protocol for the issuance, management, and regulated transfer of Real-World Asset (RWA) tokens. It enforces KYC, AML, jurisdiction, and offering-level compliance rules entirely on-chain, with no off-chain validation required at transfer time.</w:t>
      </w:r>
    </w:p>
    <w:p>
      <w:pPr>
        <w:spacing w:after="0" w:before="80"/>
      </w:pPr>
    </w:p>
    <w:p>
      <w:pPr>
        <w:spacing w:after="60" w:before="60"/>
      </w:pPr>
      <w:r>
        <w:rPr>
          <w:rFonts w:ascii="Arial" w:cs="Arial" w:eastAsia="Arial" w:hAnsi="Arial"/>
          <w:b w:val="false"/>
          <w:bCs w:val="false"/>
          <w:color w:val="000000"/>
          <w:sz w:val="22"/>
          <w:szCs w:val="22"/>
        </w:rPr>
        <w:t xml:space="preserve">FRACKS is a complete Solana-native implementation of the T-REX (Token for Regulated EXchanges) architecture concept, rebuilt from the ground up using Anchor programs, Program Derived Addresses (PDAs), Cross-Program Invocations (CPIs), and the SPL Token-2022 standard. It is not a port of EVM contracts — it uses Solana's own primitives throughout.</w:t>
      </w:r>
    </w:p>
    <w:p>
      <w:pPr>
        <w:spacing w:after="0" w:before="80"/>
      </w:pPr>
    </w:p>
    <w:p>
      <w:pPr>
        <w:spacing w:after="60" w:before="60"/>
      </w:pPr>
      <w:r>
        <w:rPr>
          <w:rFonts w:ascii="Arial" w:cs="Arial" w:eastAsia="Arial" w:hAnsi="Arial"/>
          <w:b w:val="false"/>
          <w:bCs w:val="false"/>
          <w:color w:val="000000"/>
          <w:sz w:val="22"/>
          <w:szCs w:val="22"/>
        </w:rPr>
        <w:t xml:space="preserve">The protocol enables token issuers (real estate funds, securities firms, RWA platforms) to tokenize assets and distribute them exclusively to verified, compliant investors while maintaining full regulatory control, auditability, and emergency response capabilities.</w:t>
      </w:r>
    </w:p>
    <w:p>
      <w:pPr>
        <w:spacing w:after="0" w:before="120"/>
      </w:pPr>
    </w:p>
    <w:p>
      <w:pPr>
        <w:pStyle w:val="Heading2"/>
        <w:spacing w:after="80" w:before="240"/>
      </w:pPr>
      <w:r>
        <w:rPr>
          <w:rFonts w:ascii="Arial" w:cs="Arial" w:eastAsia="Arial" w:hAnsi="Arial"/>
          <w:b/>
          <w:bCs/>
          <w:color w:val="2E75B6"/>
          <w:sz w:val="26"/>
          <w:szCs w:val="26"/>
        </w:rPr>
        <w:t xml:space="preserve">1.1 Problem Statement</w:t>
      </w:r>
    </w:p>
    <w:p>
      <w:pPr>
        <w:spacing w:after="60" w:before="60"/>
      </w:pPr>
      <w:r>
        <w:rPr>
          <w:rFonts w:ascii="Arial" w:cs="Arial" w:eastAsia="Arial" w:hAnsi="Arial"/>
          <w:b w:val="false"/>
          <w:bCs w:val="false"/>
          <w:color w:val="000000"/>
          <w:sz w:val="22"/>
          <w:szCs w:val="22"/>
        </w:rPr>
        <w:t xml:space="preserve">Current RWA tokenization on Solana lacks a complete, on-chain compliance infrastructure. Issuers cannot enforce KYC/AML requirements at the token transfer level, cannot restrict holders to specific jurisdictions, cannot enforce offering-size limits, and cannot demonstrate regulatory compliance to auditors or regulators without off-chain systems.</w:t>
      </w:r>
    </w:p>
    <w:p>
      <w:pPr>
        <w:spacing w:after="60" w:before="60"/>
      </w:pPr>
      <w:r>
        <w:rPr>
          <w:rFonts w:ascii="Arial" w:cs="Arial" w:eastAsia="Arial" w:hAnsi="Arial"/>
          <w:b w:val="false"/>
          <w:bCs w:val="false"/>
          <w:color w:val="000000"/>
          <w:sz w:val="22"/>
          <w:szCs w:val="22"/>
        </w:rPr>
        <w:t xml:space="preserve">FRACKS solves this by encoding all compliance logic directly in on-chain programs that gate every token transfer.</w:t>
      </w:r>
    </w:p>
    <w:p>
      <w:pPr>
        <w:spacing w:after="0" w:before="120"/>
      </w:pPr>
    </w:p>
    <w:p>
      <w:pPr>
        <w:pStyle w:val="Heading2"/>
        <w:spacing w:after="80" w:before="240"/>
      </w:pPr>
      <w:r>
        <w:rPr>
          <w:rFonts w:ascii="Arial" w:cs="Arial" w:eastAsia="Arial" w:hAnsi="Arial"/>
          <w:b/>
          <w:bCs/>
          <w:color w:val="2E75B6"/>
          <w:sz w:val="26"/>
          <w:szCs w:val="26"/>
        </w:rPr>
        <w:t xml:space="preserve">1.2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Type</w:t>
            </w:r>
          </w:p>
        </w:tc>
        <w:tc>
          <w:tcPr>
            <w:tcW w:type="dxa" w:w="3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 in FRACKS</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Needs</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Token Issuer / RWA Fund</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Deploys and manages the full FRACKS token suite for one RWA</w:t>
            </w:r>
          </w:p>
        </w:tc>
        <w:tc>
          <w:tcPr>
            <w:tcW w:type="dxa" w:w="33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Compliance enforcement, regulatory reporting, emergency controls</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KYC / AML Provider</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Trusted third party that issues signed claims to investor FIDs</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On-chain claim issuance, key rotation, claim revocation</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Compliance Officer / Agent</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Operational admin performing mints, freezes, registrations</w:t>
            </w:r>
          </w:p>
        </w:tc>
        <w:tc>
          <w:tcPr>
            <w:tcW w:type="dxa" w:w="33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Batch operations, forced transfer, audit trail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Verified Investor</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Holds and transfers RWA tokens after KYC/AML verification</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Self-service FID creation, seamless transfers post-verification</w:t>
            </w:r>
          </w:p>
        </w:tc>
      </w:tr>
      <w:tr>
        <w:tc>
          <w:tcPr>
            <w:tcW w:type="dxa" w:w="28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Protocol Developer</w:t>
            </w:r>
          </w:p>
        </w:tc>
        <w:tc>
          <w:tcPr>
            <w:tcW w:type="dxa" w:w="3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Builds compliance modules or integrates FRACKS into a platform</w:t>
            </w:r>
          </w:p>
        </w:tc>
        <w:tc>
          <w:tcPr>
            <w:tcW w:type="dxa" w:w="33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SDK, modular compliance interface, TypeScript client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Regulator / Auditor</w:t>
            </w:r>
          </w:p>
        </w:tc>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Verifies compliance state of the token deployment</w:t>
            </w:r>
          </w:p>
        </w:tc>
        <w:tc>
          <w:tcPr>
            <w:tcW w:type="dxa" w:w="33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On-chain audit trail, event log, PDA state inspection</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2. Product Goals and Non-Goals</w:t>
      </w:r>
    </w:p>
    <w:p>
      <w:pPr>
        <w:pStyle w:val="Heading2"/>
        <w:spacing w:after="80" w:before="240"/>
      </w:pPr>
      <w:r>
        <w:rPr>
          <w:rFonts w:ascii="Arial" w:cs="Arial" w:eastAsia="Arial" w:hAnsi="Arial"/>
          <w:b/>
          <w:bCs/>
          <w:color w:val="2E75B6"/>
          <w:sz w:val="26"/>
          <w:szCs w:val="26"/>
        </w:rPr>
        <w:t xml:space="preserve">2.1 Goals</w:t>
      </w:r>
    </w:p>
    <w:p>
      <w:pPr>
        <w:pStyle w:val="ListParagraph"/>
        <w:numPr>
          <w:ilvl w:val="0"/>
          <w:numId w:val="2"/>
        </w:numPr>
        <w:spacing w:after="40" w:before="40"/>
      </w:pPr>
      <w:r>
        <w:rPr>
          <w:rFonts w:ascii="Arial" w:cs="Arial" w:eastAsia="Arial" w:hAnsi="Arial"/>
          <w:sz w:val="22"/>
          <w:szCs w:val="22"/>
        </w:rPr>
        <w:t xml:space="preserve">Enforce KYC, AML, accreditation, and jurisdiction compliance fully on-chain for every token transfer</w:t>
      </w:r>
    </w:p>
    <w:p>
      <w:pPr>
        <w:pStyle w:val="ListParagraph"/>
        <w:numPr>
          <w:ilvl w:val="0"/>
          <w:numId w:val="2"/>
        </w:numPr>
        <w:spacing w:after="40" w:before="40"/>
      </w:pPr>
      <w:r>
        <w:rPr>
          <w:rFonts w:ascii="Arial" w:cs="Arial" w:eastAsia="Arial" w:hAnsi="Arial"/>
          <w:sz w:val="22"/>
          <w:szCs w:val="22"/>
        </w:rPr>
        <w:t xml:space="preserve">Enable token issuers to deploy a complete, compliant RWA token suite in a single factory transaction</w:t>
      </w:r>
    </w:p>
    <w:p>
      <w:pPr>
        <w:pStyle w:val="ListParagraph"/>
        <w:numPr>
          <w:ilvl w:val="0"/>
          <w:numId w:val="2"/>
        </w:numPr>
        <w:spacing w:after="40" w:before="40"/>
      </w:pPr>
      <w:r>
        <w:rPr>
          <w:rFonts w:ascii="Arial" w:cs="Arial" w:eastAsia="Arial" w:hAnsi="Arial"/>
          <w:sz w:val="22"/>
          <w:szCs w:val="22"/>
        </w:rPr>
        <w:t xml:space="preserve">Provide a modular compliance engine where rules can be added, removed, or updated by the owner without redeploying programs</w:t>
      </w:r>
    </w:p>
    <w:p>
      <w:pPr>
        <w:pStyle w:val="ListParagraph"/>
        <w:numPr>
          <w:ilvl w:val="0"/>
          <w:numId w:val="2"/>
        </w:numPr>
        <w:spacing w:after="40" w:before="40"/>
      </w:pPr>
      <w:r>
        <w:rPr>
          <w:rFonts w:ascii="Arial" w:cs="Arial" w:eastAsia="Arial" w:hAnsi="Arial"/>
          <w:sz w:val="22"/>
          <w:szCs w:val="22"/>
        </w:rPr>
        <w:t xml:space="preserve">Ensure investor identity (FID) is portable across all FRACKS token deployments — one-time KYC, multiple token eligibility</w:t>
      </w:r>
    </w:p>
    <w:p>
      <w:pPr>
        <w:pStyle w:val="ListParagraph"/>
        <w:numPr>
          <w:ilvl w:val="0"/>
          <w:numId w:val="2"/>
        </w:numPr>
        <w:spacing w:after="40" w:before="40"/>
      </w:pPr>
      <w:r>
        <w:rPr>
          <w:rFonts w:ascii="Arial" w:cs="Arial" w:eastAsia="Arial" w:hAnsi="Arial"/>
          <w:sz w:val="22"/>
          <w:szCs w:val="22"/>
        </w:rPr>
        <w:t xml:space="preserve">Enforce claim expiry, revocation, and issuer trust chains cryptographically at the SPL Token-2022 transfer hook level</w:t>
      </w:r>
    </w:p>
    <w:p>
      <w:pPr>
        <w:pStyle w:val="ListParagraph"/>
        <w:numPr>
          <w:ilvl w:val="0"/>
          <w:numId w:val="2"/>
        </w:numPr>
        <w:spacing w:after="40" w:before="40"/>
      </w:pPr>
      <w:r>
        <w:rPr>
          <w:rFonts w:ascii="Arial" w:cs="Arial" w:eastAsia="Arial" w:hAnsi="Arial"/>
          <w:sz w:val="22"/>
          <w:szCs w:val="22"/>
        </w:rPr>
        <w:t xml:space="preserve">Support emergency operations: wallet freeze, partial freeze, forced transfer, token recovery, and protocol pause</w:t>
      </w:r>
    </w:p>
    <w:p>
      <w:pPr>
        <w:pStyle w:val="ListParagraph"/>
        <w:numPr>
          <w:ilvl w:val="0"/>
          <w:numId w:val="2"/>
        </w:numPr>
        <w:spacing w:after="40" w:before="40"/>
      </w:pPr>
      <w:r>
        <w:rPr>
          <w:rFonts w:ascii="Arial" w:cs="Arial" w:eastAsia="Arial" w:hAnsi="Arial"/>
          <w:sz w:val="22"/>
          <w:szCs w:val="22"/>
        </w:rPr>
        <w:t xml:space="preserve">Provide a complete TypeScript SDK for issuers and developers to integrate FRACKS</w:t>
      </w:r>
    </w:p>
    <w:p>
      <w:pPr>
        <w:pStyle w:val="ListParagraph"/>
        <w:numPr>
          <w:ilvl w:val="0"/>
          <w:numId w:val="2"/>
        </w:numPr>
        <w:spacing w:after="40" w:before="40"/>
      </w:pPr>
      <w:r>
        <w:rPr>
          <w:rFonts w:ascii="Arial" w:cs="Arial" w:eastAsia="Arial" w:hAnsi="Arial"/>
          <w:sz w:val="22"/>
          <w:szCs w:val="22"/>
        </w:rPr>
        <w:t xml:space="preserve">Emit comprehensive on-chain events for all protocol actions for compliance audit trails</w:t>
      </w:r>
    </w:p>
    <w:p>
      <w:pPr>
        <w:pStyle w:val="ListParagraph"/>
        <w:numPr>
          <w:ilvl w:val="0"/>
          <w:numId w:val="2"/>
        </w:numPr>
        <w:spacing w:after="40" w:before="40"/>
      </w:pPr>
      <w:r>
        <w:rPr>
          <w:rFonts w:ascii="Arial" w:cs="Arial" w:eastAsia="Arial" w:hAnsi="Arial"/>
          <w:sz w:val="22"/>
          <w:szCs w:val="22"/>
        </w:rPr>
        <w:t xml:space="preserve">Support shared IRS (Identity Registry Storage) so one issuer's investor whitelist can be reused across multiple tokens</w:t>
      </w:r>
    </w:p>
    <w:p>
      <w:pPr>
        <w:spacing w:after="0" w:before="120"/>
      </w:pPr>
    </w:p>
    <w:p>
      <w:pPr>
        <w:pStyle w:val="Heading2"/>
        <w:spacing w:after="80" w:before="240"/>
      </w:pPr>
      <w:r>
        <w:rPr>
          <w:rFonts w:ascii="Arial" w:cs="Arial" w:eastAsia="Arial" w:hAnsi="Arial"/>
          <w:b/>
          <w:bCs/>
          <w:color w:val="2E75B6"/>
          <w:sz w:val="26"/>
          <w:szCs w:val="26"/>
        </w:rPr>
        <w:t xml:space="preserve">2.2 Non-Goals</w:t>
      </w:r>
    </w:p>
    <w:p>
      <w:pPr>
        <w:pStyle w:val="ListParagraph"/>
        <w:numPr>
          <w:ilvl w:val="0"/>
          <w:numId w:val="2"/>
        </w:numPr>
        <w:spacing w:after="40" w:before="40"/>
      </w:pPr>
      <w:r>
        <w:rPr>
          <w:rFonts w:ascii="Arial" w:cs="Arial" w:eastAsia="Arial" w:hAnsi="Arial"/>
          <w:sz w:val="22"/>
          <w:szCs w:val="22"/>
        </w:rPr>
        <w:t xml:space="preserve">FRACKS does not perform off-chain KYC or AML screening — it only records the on-chain results</w:t>
      </w:r>
    </w:p>
    <w:p>
      <w:pPr>
        <w:pStyle w:val="ListParagraph"/>
        <w:numPr>
          <w:ilvl w:val="0"/>
          <w:numId w:val="2"/>
        </w:numPr>
        <w:spacing w:after="40" w:before="40"/>
      </w:pPr>
      <w:r>
        <w:rPr>
          <w:rFonts w:ascii="Arial" w:cs="Arial" w:eastAsia="Arial" w:hAnsi="Arial"/>
          <w:sz w:val="22"/>
          <w:szCs w:val="22"/>
        </w:rPr>
        <w:t xml:space="preserve">FRACKS is not an EVM/Ethereum protocol — it has no Solidity code and no ERC-20 compatibility layer</w:t>
      </w:r>
    </w:p>
    <w:p>
      <w:pPr>
        <w:pStyle w:val="ListParagraph"/>
        <w:numPr>
          <w:ilvl w:val="0"/>
          <w:numId w:val="2"/>
        </w:numPr>
        <w:spacing w:after="40" w:before="40"/>
      </w:pPr>
      <w:r>
        <w:rPr>
          <w:rFonts w:ascii="Arial" w:cs="Arial" w:eastAsia="Arial" w:hAnsi="Arial"/>
          <w:sz w:val="22"/>
          <w:szCs w:val="22"/>
        </w:rPr>
        <w:t xml:space="preserve">FRACKS does not provide a front-end dApp — it provides programs and SDK only</w:t>
      </w:r>
    </w:p>
    <w:p>
      <w:pPr>
        <w:pStyle w:val="ListParagraph"/>
        <w:numPr>
          <w:ilvl w:val="0"/>
          <w:numId w:val="2"/>
        </w:numPr>
        <w:spacing w:after="40" w:before="40"/>
      </w:pPr>
      <w:r>
        <w:rPr>
          <w:rFonts w:ascii="Arial" w:cs="Arial" w:eastAsia="Arial" w:hAnsi="Arial"/>
          <w:sz w:val="22"/>
          <w:szCs w:val="22"/>
        </w:rPr>
        <w:t xml:space="preserve">FRACKS does not manage fiat payments, settlement, or redemption flows</w:t>
      </w:r>
    </w:p>
    <w:p>
      <w:pPr>
        <w:pStyle w:val="ListParagraph"/>
        <w:numPr>
          <w:ilvl w:val="0"/>
          <w:numId w:val="2"/>
        </w:numPr>
        <w:spacing w:after="40" w:before="40"/>
      </w:pPr>
      <w:r>
        <w:rPr>
          <w:rFonts w:ascii="Arial" w:cs="Arial" w:eastAsia="Arial" w:hAnsi="Arial"/>
          <w:sz w:val="22"/>
          <w:szCs w:val="22"/>
        </w:rPr>
        <w:t xml:space="preserve">FRACKS is not a DEX or AMM — transfers are compliance-gated, not market-driven</w:t>
      </w:r>
    </w:p>
    <w:p>
      <w:pPr>
        <w:pStyle w:val="ListParagraph"/>
        <w:numPr>
          <w:ilvl w:val="0"/>
          <w:numId w:val="2"/>
        </w:numPr>
        <w:spacing w:after="40" w:before="40"/>
      </w:pPr>
      <w:r>
        <w:rPr>
          <w:rFonts w:ascii="Arial" w:cs="Arial" w:eastAsia="Arial" w:hAnsi="Arial"/>
          <w:sz w:val="22"/>
          <w:szCs w:val="22"/>
        </w:rPr>
        <w:t xml:space="preserve">FRACKS does not store investor PII on-chain — only data_hash (keccak256) is stored</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3. Functional Requirements</w:t>
      </w:r>
    </w:p>
    <w:p>
      <w:pPr>
        <w:pStyle w:val="Heading2"/>
        <w:spacing w:after="80" w:before="240"/>
      </w:pPr>
      <w:r>
        <w:rPr>
          <w:rFonts w:ascii="Arial" w:cs="Arial" w:eastAsia="Arial" w:hAnsi="Arial"/>
          <w:b/>
          <w:bCs/>
          <w:color w:val="2E75B6"/>
          <w:sz w:val="26"/>
          <w:szCs w:val="26"/>
        </w:rPr>
        <w:t xml:space="preserve">3.1 Factory Program</w:t>
      </w:r>
    </w:p>
    <w:p>
      <w:pPr>
        <w:pStyle w:val="ListParagraph"/>
        <w:numPr>
          <w:ilvl w:val="0"/>
          <w:numId w:val="2"/>
        </w:numPr>
        <w:spacing w:after="40" w:before="40"/>
      </w:pPr>
      <w:r>
        <w:rPr>
          <w:rFonts w:ascii="Arial" w:cs="Arial" w:eastAsia="Arial" w:hAnsi="Arial"/>
          <w:sz w:val="22"/>
          <w:szCs w:val="22"/>
        </w:rPr>
        <w:t xml:space="preserve">FR-F1: The Factory must deploy a complete FRACKS token suite (Mint + TokenState + IRP + IRS + TIR + CTR + ComplianceState) in an atomic or coordinated transaction set</w:t>
      </w:r>
    </w:p>
    <w:p>
      <w:pPr>
        <w:pStyle w:val="ListParagraph"/>
        <w:numPr>
          <w:ilvl w:val="0"/>
          <w:numId w:val="2"/>
        </w:numPr>
        <w:spacing w:after="40" w:before="40"/>
      </w:pPr>
      <w:r>
        <w:rPr>
          <w:rFonts w:ascii="Arial" w:cs="Arial" w:eastAsia="Arial" w:hAnsi="Arial"/>
          <w:sz w:val="22"/>
          <w:szCs w:val="22"/>
        </w:rPr>
        <w:t xml:space="preserve">FR-F2: The Factory must accept a salt parameter for deterministic PDA address derivation, enabling pre-computation of all deployment addresses</w:t>
      </w:r>
    </w:p>
    <w:p>
      <w:pPr>
        <w:pStyle w:val="ListParagraph"/>
        <w:numPr>
          <w:ilvl w:val="0"/>
          <w:numId w:val="2"/>
        </w:numPr>
        <w:spacing w:after="40" w:before="40"/>
      </w:pPr>
      <w:r>
        <w:rPr>
          <w:rFonts w:ascii="Arial" w:cs="Arial" w:eastAsia="Arial" w:hAnsi="Arial"/>
          <w:sz w:val="22"/>
          <w:szCs w:val="22"/>
        </w:rPr>
        <w:t xml:space="preserve">FR-F3: The Factory must accept initial claim_topics, trusted_issuers, and compliance_modules as deployment parameters</w:t>
      </w:r>
    </w:p>
    <w:p>
      <w:pPr>
        <w:pStyle w:val="ListParagraph"/>
        <w:numPr>
          <w:ilvl w:val="0"/>
          <w:numId w:val="2"/>
        </w:numPr>
        <w:spacing w:after="40" w:before="40"/>
      </w:pPr>
      <w:r>
        <w:rPr>
          <w:rFonts w:ascii="Arial" w:cs="Arial" w:eastAsia="Arial" w:hAnsi="Arial"/>
          <w:sz w:val="22"/>
          <w:szCs w:val="22"/>
        </w:rPr>
        <w:t xml:space="preserve">FR-F4: The Factory must support reuse of an existing IRS (shared_irs parameter) for multi-token issuer deployments</w:t>
      </w:r>
    </w:p>
    <w:p>
      <w:pPr>
        <w:pStyle w:val="ListParagraph"/>
        <w:numPr>
          <w:ilvl w:val="0"/>
          <w:numId w:val="2"/>
        </w:numPr>
        <w:spacing w:after="40" w:before="40"/>
      </w:pPr>
      <w:r>
        <w:rPr>
          <w:rFonts w:ascii="Arial" w:cs="Arial" w:eastAsia="Arial" w:hAnsi="Arial"/>
          <w:sz w:val="22"/>
          <w:szCs w:val="22"/>
        </w:rPr>
        <w:t xml:space="preserve">FR-F5: The Factory must transfer ownership of all initialized PDAs to the issuer wallet after deployment</w:t>
      </w:r>
    </w:p>
    <w:p>
      <w:pPr>
        <w:pStyle w:val="ListParagraph"/>
        <w:numPr>
          <w:ilvl w:val="0"/>
          <w:numId w:val="2"/>
        </w:numPr>
        <w:spacing w:after="40" w:before="40"/>
      </w:pPr>
      <w:r>
        <w:rPr>
          <w:rFonts w:ascii="Arial" w:cs="Arial" w:eastAsia="Arial" w:hAnsi="Arial"/>
          <w:sz w:val="22"/>
          <w:szCs w:val="22"/>
        </w:rPr>
        <w:t xml:space="preserve">FR-F6: The Factory must record a TokenDeployment PDA linking all component addresses for each deployment</w:t>
      </w:r>
    </w:p>
    <w:p>
      <w:pPr>
        <w:pStyle w:val="ListParagraph"/>
        <w:numPr>
          <w:ilvl w:val="0"/>
          <w:numId w:val="2"/>
        </w:numPr>
        <w:spacing w:after="40" w:before="40"/>
      </w:pPr>
      <w:r>
        <w:rPr>
          <w:rFonts w:ascii="Arial" w:cs="Arial" w:eastAsia="Arial" w:hAnsi="Arial"/>
          <w:sz w:val="22"/>
          <w:szCs w:val="22"/>
        </w:rPr>
        <w:t xml:space="preserve">FR-F7: The Factory must emit a TokenSuiteDeployed event with all component pubkeys</w:t>
      </w:r>
    </w:p>
    <w:p>
      <w:pPr>
        <w:spacing w:after="0" w:before="80"/>
      </w:pPr>
    </w:p>
    <w:p>
      <w:pPr>
        <w:pStyle w:val="Heading2"/>
        <w:spacing w:after="80" w:before="240"/>
      </w:pPr>
      <w:r>
        <w:rPr>
          <w:rFonts w:ascii="Arial" w:cs="Arial" w:eastAsia="Arial" w:hAnsi="Arial"/>
          <w:b/>
          <w:bCs/>
          <w:color w:val="2E75B6"/>
          <w:sz w:val="26"/>
          <w:szCs w:val="26"/>
        </w:rPr>
        <w:t xml:space="preserve">3.2 Token Program</w:t>
      </w:r>
    </w:p>
    <w:p>
      <w:pPr>
        <w:pStyle w:val="ListParagraph"/>
        <w:numPr>
          <w:ilvl w:val="0"/>
          <w:numId w:val="2"/>
        </w:numPr>
        <w:spacing w:after="40" w:before="40"/>
      </w:pPr>
      <w:r>
        <w:rPr>
          <w:rFonts w:ascii="Arial" w:cs="Arial" w:eastAsia="Arial" w:hAnsi="Arial"/>
          <w:sz w:val="22"/>
          <w:szCs w:val="22"/>
        </w:rPr>
        <w:t xml:space="preserve">FR-T1: Every transfer() call must invoke IRP.is_verified(receiver) via CPI and reject if false</w:t>
      </w:r>
    </w:p>
    <w:p>
      <w:pPr>
        <w:pStyle w:val="ListParagraph"/>
        <w:numPr>
          <w:ilvl w:val="0"/>
          <w:numId w:val="2"/>
        </w:numPr>
        <w:spacing w:after="40" w:before="40"/>
      </w:pPr>
      <w:r>
        <w:rPr>
          <w:rFonts w:ascii="Arial" w:cs="Arial" w:eastAsia="Arial" w:hAnsi="Arial"/>
          <w:sz w:val="22"/>
          <w:szCs w:val="22"/>
        </w:rPr>
        <w:t xml:space="preserve">FR-T2: Every transfer() call must invoke CP.can_transfer(from, to, amount) via CPI and reject if false</w:t>
      </w:r>
    </w:p>
    <w:p>
      <w:pPr>
        <w:pStyle w:val="ListParagraph"/>
        <w:numPr>
          <w:ilvl w:val="0"/>
          <w:numId w:val="2"/>
        </w:numPr>
        <w:spacing w:after="40" w:before="40"/>
      </w:pPr>
      <w:r>
        <w:rPr>
          <w:rFonts w:ascii="Arial" w:cs="Arial" w:eastAsia="Arial" w:hAnsi="Arial"/>
          <w:sz w:val="22"/>
          <w:szCs w:val="22"/>
        </w:rPr>
        <w:t xml:space="preserve">FR-T3: Transfers must be blocked if either sender or receiver has a FrozenWallet PDA</w:t>
      </w:r>
    </w:p>
    <w:p>
      <w:pPr>
        <w:pStyle w:val="ListParagraph"/>
        <w:numPr>
          <w:ilvl w:val="0"/>
          <w:numId w:val="2"/>
        </w:numPr>
        <w:spacing w:after="40" w:before="40"/>
      </w:pPr>
      <w:r>
        <w:rPr>
          <w:rFonts w:ascii="Arial" w:cs="Arial" w:eastAsia="Arial" w:hAnsi="Arial"/>
          <w:sz w:val="22"/>
          <w:szCs w:val="22"/>
        </w:rPr>
        <w:t xml:space="preserve">FR-T4: Transfers must be blocked if TokenState.paused == true</w:t>
      </w:r>
    </w:p>
    <w:p>
      <w:pPr>
        <w:pStyle w:val="ListParagraph"/>
        <w:numPr>
          <w:ilvl w:val="0"/>
          <w:numId w:val="2"/>
        </w:numPr>
        <w:spacing w:after="40" w:before="40"/>
      </w:pPr>
      <w:r>
        <w:rPr>
          <w:rFonts w:ascii="Arial" w:cs="Arial" w:eastAsia="Arial" w:hAnsi="Arial"/>
          <w:sz w:val="22"/>
          <w:szCs w:val="22"/>
        </w:rPr>
        <w:t xml:space="preserve">FR-T5: Partial freeze must block only the frozen amount; remaining balance must be freely transferable</w:t>
      </w:r>
    </w:p>
    <w:p>
      <w:pPr>
        <w:pStyle w:val="ListParagraph"/>
        <w:numPr>
          <w:ilvl w:val="0"/>
          <w:numId w:val="2"/>
        </w:numPr>
        <w:spacing w:after="40" w:before="40"/>
      </w:pPr>
      <w:r>
        <w:rPr>
          <w:rFonts w:ascii="Arial" w:cs="Arial" w:eastAsia="Arial" w:hAnsi="Arial"/>
          <w:sz w:val="22"/>
          <w:szCs w:val="22"/>
        </w:rPr>
        <w:t xml:space="preserve">FR-T6: mint() must be restricted to Agent role; must call IRP.is_verified(receiver) before minting</w:t>
      </w:r>
    </w:p>
    <w:p>
      <w:pPr>
        <w:pStyle w:val="ListParagraph"/>
        <w:numPr>
          <w:ilvl w:val="0"/>
          <w:numId w:val="2"/>
        </w:numPr>
        <w:spacing w:after="40" w:before="40"/>
      </w:pPr>
      <w:r>
        <w:rPr>
          <w:rFonts w:ascii="Arial" w:cs="Arial" w:eastAsia="Arial" w:hAnsi="Arial"/>
          <w:sz w:val="22"/>
          <w:szCs w:val="22"/>
        </w:rPr>
        <w:t xml:space="preserve">FR-T7: burn() must be restricted to Agent role</w:t>
      </w:r>
    </w:p>
    <w:p>
      <w:pPr>
        <w:pStyle w:val="ListParagraph"/>
        <w:numPr>
          <w:ilvl w:val="0"/>
          <w:numId w:val="2"/>
        </w:numPr>
        <w:spacing w:after="40" w:before="40"/>
      </w:pPr>
      <w:r>
        <w:rPr>
          <w:rFonts w:ascii="Arial" w:cs="Arial" w:eastAsia="Arial" w:hAnsi="Arial"/>
          <w:sz w:val="22"/>
          <w:szCs w:val="22"/>
        </w:rPr>
        <w:t xml:space="preserve">FR-T8: forced_transfer() must be restricted to Agent role; must bypass sender consent but still call compliance checks</w:t>
      </w:r>
    </w:p>
    <w:p>
      <w:pPr>
        <w:pStyle w:val="ListParagraph"/>
        <w:numPr>
          <w:ilvl w:val="0"/>
          <w:numId w:val="2"/>
        </w:numPr>
        <w:spacing w:after="40" w:before="40"/>
      </w:pPr>
      <w:r>
        <w:rPr>
          <w:rFonts w:ascii="Arial" w:cs="Arial" w:eastAsia="Arial" w:hAnsi="Arial"/>
          <w:sz w:val="22"/>
          <w:szCs w:val="22"/>
        </w:rPr>
        <w:t xml:space="preserve">FR-T9: recovery() must allow an Agent to transfer tokens from a lost wallet to a new verified wallet</w:t>
      </w:r>
    </w:p>
    <w:p>
      <w:pPr>
        <w:pStyle w:val="ListParagraph"/>
        <w:numPr>
          <w:ilvl w:val="0"/>
          <w:numId w:val="2"/>
        </w:numPr>
        <w:spacing w:after="40" w:before="40"/>
      </w:pPr>
      <w:r>
        <w:rPr>
          <w:rFonts w:ascii="Arial" w:cs="Arial" w:eastAsia="Arial" w:hAnsi="Arial"/>
          <w:sz w:val="22"/>
          <w:szCs w:val="22"/>
        </w:rPr>
        <w:t xml:space="preserve">FR-T10: pause() and unpause() must be restricted to Owner role</w:t>
      </w:r>
    </w:p>
    <w:p>
      <w:pPr>
        <w:pStyle w:val="ListParagraph"/>
        <w:numPr>
          <w:ilvl w:val="0"/>
          <w:numId w:val="2"/>
        </w:numPr>
        <w:spacing w:after="40" w:before="40"/>
      </w:pPr>
      <w:r>
        <w:rPr>
          <w:rFonts w:ascii="Arial" w:cs="Arial" w:eastAsia="Arial" w:hAnsi="Arial"/>
          <w:sz w:val="22"/>
          <w:szCs w:val="22"/>
        </w:rPr>
        <w:t xml:space="preserve">FR-T11: freeze_wallet() and unfreeze_wallet() must be restricted to Agent role</w:t>
      </w:r>
    </w:p>
    <w:p>
      <w:pPr>
        <w:pStyle w:val="ListParagraph"/>
        <w:numPr>
          <w:ilvl w:val="0"/>
          <w:numId w:val="2"/>
        </w:numPr>
        <w:spacing w:after="40" w:before="40"/>
      </w:pPr>
      <w:r>
        <w:rPr>
          <w:rFonts w:ascii="Arial" w:cs="Arial" w:eastAsia="Arial" w:hAnsi="Arial"/>
          <w:sz w:val="22"/>
          <w:szCs w:val="22"/>
        </w:rPr>
        <w:t xml:space="preserve">FR-T12: Every successful transfer must call CP.transferred() post-transfer hook</w:t>
      </w:r>
    </w:p>
    <w:p>
      <w:pPr>
        <w:pStyle w:val="ListParagraph"/>
        <w:numPr>
          <w:ilvl w:val="0"/>
          <w:numId w:val="2"/>
        </w:numPr>
        <w:spacing w:after="40" w:before="40"/>
      </w:pPr>
      <w:r>
        <w:rPr>
          <w:rFonts w:ascii="Arial" w:cs="Arial" w:eastAsia="Arial" w:hAnsi="Arial"/>
          <w:sz w:val="22"/>
          <w:szCs w:val="22"/>
        </w:rPr>
        <w:t xml:space="preserve">FR-T13: Every failed transfer must emit TransferRejected event with error_code</w:t>
      </w:r>
    </w:p>
    <w:p>
      <w:pPr>
        <w:pStyle w:val="ListParagraph"/>
        <w:numPr>
          <w:ilvl w:val="0"/>
          <w:numId w:val="2"/>
        </w:numPr>
        <w:spacing w:after="40" w:before="40"/>
      </w:pPr>
      <w:r>
        <w:rPr>
          <w:rFonts w:ascii="Arial" w:cs="Arial" w:eastAsia="Arial" w:hAnsi="Arial"/>
          <w:sz w:val="22"/>
          <w:szCs w:val="22"/>
        </w:rPr>
        <w:t xml:space="preserve">FR-T14: Transfer hook must enforce that IRP and CP program IDs match TokenState.identity_registry and TokenState.compliance to prevent CPI impersonation</w:t>
      </w:r>
    </w:p>
    <w:p>
      <w:pPr>
        <w:spacing w:after="0" w:before="80"/>
      </w:pPr>
    </w:p>
    <w:p>
      <w:pPr>
        <w:pStyle w:val="Heading2"/>
        <w:spacing w:after="80" w:before="240"/>
      </w:pPr>
      <w:r>
        <w:rPr>
          <w:rFonts w:ascii="Arial" w:cs="Arial" w:eastAsia="Arial" w:hAnsi="Arial"/>
          <w:b/>
          <w:bCs/>
          <w:color w:val="2E75B6"/>
          <w:sz w:val="26"/>
          <w:szCs w:val="26"/>
        </w:rPr>
        <w:t xml:space="preserve">3.3 FRACKS Identity (FID) Program</w:t>
      </w:r>
    </w:p>
    <w:p>
      <w:pPr>
        <w:pStyle w:val="ListParagraph"/>
        <w:numPr>
          <w:ilvl w:val="0"/>
          <w:numId w:val="2"/>
        </w:numPr>
        <w:spacing w:after="40" w:before="40"/>
      </w:pPr>
      <w:r>
        <w:rPr>
          <w:rFonts w:ascii="Arial" w:cs="Arial" w:eastAsia="Arial" w:hAnsi="Arial"/>
          <w:sz w:val="22"/>
          <w:szCs w:val="22"/>
        </w:rPr>
        <w:t xml:space="preserve">FR-I1: Any wallet must be able to deploy exactly one FID account (enforced by PDA seeds [b"fid", wallet])</w:t>
      </w:r>
    </w:p>
    <w:p>
      <w:pPr>
        <w:pStyle w:val="ListParagraph"/>
        <w:numPr>
          <w:ilvl w:val="0"/>
          <w:numId w:val="2"/>
        </w:numPr>
        <w:spacing w:after="40" w:before="40"/>
      </w:pPr>
      <w:r>
        <w:rPr>
          <w:rFonts w:ascii="Arial" w:cs="Arial" w:eastAsia="Arial" w:hAnsi="Arial"/>
          <w:sz w:val="22"/>
          <w:szCs w:val="22"/>
        </w:rPr>
        <w:t xml:space="preserve">FR-I2: FID must store: owner, management_key, signer_key, claim_count, is_issuer, country</w:t>
      </w:r>
    </w:p>
    <w:p>
      <w:pPr>
        <w:pStyle w:val="ListParagraph"/>
        <w:numPr>
          <w:ilvl w:val="0"/>
          <w:numId w:val="2"/>
        </w:numPr>
        <w:spacing w:after="40" w:before="40"/>
      </w:pPr>
      <w:r>
        <w:rPr>
          <w:rFonts w:ascii="Arial" w:cs="Arial" w:eastAsia="Arial" w:hAnsi="Arial"/>
          <w:sz w:val="22"/>
          <w:szCs w:val="22"/>
        </w:rPr>
        <w:t xml:space="preserve">FR-I3: Claims must be stored as separate Claim PDAs seeded with [b"claim", fid, claim_id]</w:t>
      </w:r>
    </w:p>
    <w:p>
      <w:pPr>
        <w:pStyle w:val="ListParagraph"/>
        <w:numPr>
          <w:ilvl w:val="0"/>
          <w:numId w:val="2"/>
        </w:numPr>
        <w:spacing w:after="40" w:before="40"/>
      </w:pPr>
      <w:r>
        <w:rPr>
          <w:rFonts w:ascii="Arial" w:cs="Arial" w:eastAsia="Arial" w:hAnsi="Arial"/>
          <w:sz w:val="22"/>
          <w:szCs w:val="22"/>
        </w:rPr>
        <w:t xml:space="preserve">FR-I4: Each Claim PDA must store: fid, claim_id, topic, issuer_fid, data_hash, signature, issued_at, expires_at, revoked</w:t>
      </w:r>
    </w:p>
    <w:p>
      <w:pPr>
        <w:pStyle w:val="ListParagraph"/>
        <w:numPr>
          <w:ilvl w:val="0"/>
          <w:numId w:val="2"/>
        </w:numPr>
        <w:spacing w:after="40" w:before="40"/>
      </w:pPr>
      <w:r>
        <w:rPr>
          <w:rFonts w:ascii="Arial" w:cs="Arial" w:eastAsia="Arial" w:hAnsi="Arial"/>
          <w:sz w:val="22"/>
          <w:szCs w:val="22"/>
        </w:rPr>
        <w:t xml:space="preserve">FR-I5: Claim signatures must use ed25519 over sha256(issuer_fid || holder_fid || topic || data_hash || expires_at)</w:t>
      </w:r>
    </w:p>
    <w:p>
      <w:pPr>
        <w:pStyle w:val="ListParagraph"/>
        <w:numPr>
          <w:ilvl w:val="0"/>
          <w:numId w:val="2"/>
        </w:numPr>
        <w:spacing w:after="40" w:before="40"/>
      </w:pPr>
      <w:r>
        <w:rPr>
          <w:rFonts w:ascii="Arial" w:cs="Arial" w:eastAsia="Arial" w:hAnsi="Arial"/>
          <w:sz w:val="22"/>
          <w:szCs w:val="22"/>
        </w:rPr>
        <w:t xml:space="preserve">FR-I6: revoke_claim() must set revoked = true and be restricted to the issuer FID owner</w:t>
      </w:r>
    </w:p>
    <w:p>
      <w:pPr>
        <w:pStyle w:val="ListParagraph"/>
        <w:numPr>
          <w:ilvl w:val="0"/>
          <w:numId w:val="2"/>
        </w:numPr>
        <w:spacing w:after="40" w:before="40"/>
      </w:pPr>
      <w:r>
        <w:rPr>
          <w:rFonts w:ascii="Arial" w:cs="Arial" w:eastAsia="Arial" w:hAnsi="Arial"/>
          <w:sz w:val="22"/>
          <w:szCs w:val="22"/>
        </w:rPr>
        <w:t xml:space="preserve">FR-I7: set_signer_key() rotation must immediately invalidate all previously signed claims</w:t>
      </w:r>
    </w:p>
    <w:p>
      <w:pPr>
        <w:pStyle w:val="ListParagraph"/>
        <w:numPr>
          <w:ilvl w:val="0"/>
          <w:numId w:val="2"/>
        </w:numPr>
        <w:spacing w:after="40" w:before="40"/>
      </w:pPr>
      <w:r>
        <w:rPr>
          <w:rFonts w:ascii="Arial" w:cs="Arial" w:eastAsia="Arial" w:hAnsi="Arial"/>
          <w:sz w:val="22"/>
          <w:szCs w:val="22"/>
        </w:rPr>
        <w:t xml:space="preserve">FR-I8: FID must be non-token-specific — one FID must be usable across multiple FRACKS tokens</w:t>
      </w:r>
    </w:p>
    <w:p>
      <w:pPr>
        <w:spacing w:after="0" w:before="80"/>
      </w:pPr>
    </w:p>
    <w:p>
      <w:pPr>
        <w:pStyle w:val="Heading2"/>
        <w:spacing w:after="80" w:before="240"/>
      </w:pPr>
      <w:r>
        <w:rPr>
          <w:rFonts w:ascii="Arial" w:cs="Arial" w:eastAsia="Arial" w:hAnsi="Arial"/>
          <w:b/>
          <w:bCs/>
          <w:color w:val="2E75B6"/>
          <w:sz w:val="26"/>
          <w:szCs w:val="26"/>
        </w:rPr>
        <w:t xml:space="preserve">3.4 Identity Registry Program (IRP) — is_verified()</w:t>
      </w:r>
    </w:p>
    <w:p>
      <w:pPr>
        <w:pStyle w:val="ListParagraph"/>
        <w:numPr>
          <w:ilvl w:val="0"/>
          <w:numId w:val="2"/>
        </w:numPr>
        <w:spacing w:after="40" w:before="40"/>
      </w:pPr>
      <w:r>
        <w:rPr>
          <w:rFonts w:ascii="Arial" w:cs="Arial" w:eastAsia="Arial" w:hAnsi="Arial"/>
          <w:sz w:val="22"/>
          <w:szCs w:val="22"/>
        </w:rPr>
        <w:t xml:space="preserve">FR-IRP1: is_verified(wallet) must: (1) look up WalletIdentity in IRS, (2) load CTR topics, (3) for each topic, find a Claim on holder FID that is not revoked, not expired, signed by an issuer trusted in TIR for that topic, and verify ed25519 signature</w:t>
      </w:r>
    </w:p>
    <w:p>
      <w:pPr>
        <w:pStyle w:val="ListParagraph"/>
        <w:numPr>
          <w:ilvl w:val="0"/>
          <w:numId w:val="2"/>
        </w:numPr>
        <w:spacing w:after="40" w:before="40"/>
      </w:pPr>
      <w:r>
        <w:rPr>
          <w:rFonts w:ascii="Arial" w:cs="Arial" w:eastAsia="Arial" w:hAnsi="Arial"/>
          <w:sz w:val="22"/>
          <w:szCs w:val="22"/>
        </w:rPr>
        <w:t xml:space="preserve">FR-IRP2: If CTR has zero topics, is_verified() must return true (no verification required)</w:t>
      </w:r>
    </w:p>
    <w:p>
      <w:pPr>
        <w:pStyle w:val="ListParagraph"/>
        <w:numPr>
          <w:ilvl w:val="0"/>
          <w:numId w:val="2"/>
        </w:numPr>
        <w:spacing w:after="40" w:before="40"/>
      </w:pPr>
      <w:r>
        <w:rPr>
          <w:rFonts w:ascii="Arial" w:cs="Arial" w:eastAsia="Arial" w:hAnsi="Arial"/>
          <w:sz w:val="22"/>
          <w:szCs w:val="22"/>
        </w:rPr>
        <w:t xml:space="preserve">FR-IRP3: IRP must be configurable to point to different IRS, TIR, and CTR accounts by the Owner</w:t>
      </w:r>
    </w:p>
    <w:p>
      <w:pPr>
        <w:pStyle w:val="ListParagraph"/>
        <w:numPr>
          <w:ilvl w:val="0"/>
          <w:numId w:val="2"/>
        </w:numPr>
        <w:spacing w:after="40" w:before="40"/>
      </w:pPr>
      <w:r>
        <w:rPr>
          <w:rFonts w:ascii="Arial" w:cs="Arial" w:eastAsia="Arial" w:hAnsi="Arial"/>
          <w:sz w:val="22"/>
          <w:szCs w:val="22"/>
        </w:rPr>
        <w:t xml:space="preserve">FR-IRP4: Identity Agents must be manageable per IRP instance (add/remove by Owner)</w:t>
      </w:r>
    </w:p>
    <w:p>
      <w:pPr>
        <w:pStyle w:val="ListParagraph"/>
        <w:numPr>
          <w:ilvl w:val="0"/>
          <w:numId w:val="2"/>
        </w:numPr>
        <w:spacing w:after="40" w:before="40"/>
      </w:pPr>
      <w:r>
        <w:rPr>
          <w:rFonts w:ascii="Arial" w:cs="Arial" w:eastAsia="Arial" w:hAnsi="Arial"/>
          <w:sz w:val="22"/>
          <w:szCs w:val="22"/>
        </w:rPr>
        <w:t xml:space="preserve">FR-IRP5: IRP must return false if wallet is not in IRS at all</w:t>
      </w:r>
    </w:p>
    <w:p>
      <w:pPr>
        <w:spacing w:after="0" w:before="80"/>
      </w:pPr>
    </w:p>
    <w:p>
      <w:pPr>
        <w:pStyle w:val="Heading2"/>
        <w:spacing w:after="80" w:before="240"/>
      </w:pPr>
      <w:r>
        <w:rPr>
          <w:rFonts w:ascii="Arial" w:cs="Arial" w:eastAsia="Arial" w:hAnsi="Arial"/>
          <w:b/>
          <w:bCs/>
          <w:color w:val="2E75B6"/>
          <w:sz w:val="26"/>
          <w:szCs w:val="26"/>
        </w:rPr>
        <w:t xml:space="preserve">3.5 Identity Registry Storage (IRS)</w:t>
      </w:r>
    </w:p>
    <w:p>
      <w:pPr>
        <w:pStyle w:val="ListParagraph"/>
        <w:numPr>
          <w:ilvl w:val="0"/>
          <w:numId w:val="2"/>
        </w:numPr>
        <w:spacing w:after="40" w:before="40"/>
      </w:pPr>
      <w:r>
        <w:rPr>
          <w:rFonts w:ascii="Arial" w:cs="Arial" w:eastAsia="Arial" w:hAnsi="Arial"/>
          <w:sz w:val="22"/>
          <w:szCs w:val="22"/>
        </w:rPr>
        <w:t xml:space="preserve">FR-IRS1: Each registered investor must have exactly one WalletIdentity PDA per IRS: [b"wallet_identity", irs, wallet]</w:t>
      </w:r>
    </w:p>
    <w:p>
      <w:pPr>
        <w:pStyle w:val="ListParagraph"/>
        <w:numPr>
          <w:ilvl w:val="0"/>
          <w:numId w:val="2"/>
        </w:numPr>
        <w:spacing w:after="40" w:before="40"/>
      </w:pPr>
      <w:r>
        <w:rPr>
          <w:rFonts w:ascii="Arial" w:cs="Arial" w:eastAsia="Arial" w:hAnsi="Arial"/>
          <w:sz w:val="22"/>
          <w:szCs w:val="22"/>
        </w:rPr>
        <w:t xml:space="preserve">FR-IRS2: WalletIdentity must store: wallet, fid, country (ISO-3166 u16), irs</w:t>
      </w:r>
    </w:p>
    <w:p>
      <w:pPr>
        <w:pStyle w:val="ListParagraph"/>
        <w:numPr>
          <w:ilvl w:val="0"/>
          <w:numId w:val="2"/>
        </w:numPr>
        <w:spacing w:after="40" w:before="40"/>
      </w:pPr>
      <w:r>
        <w:rPr>
          <w:rFonts w:ascii="Arial" w:cs="Arial" w:eastAsia="Arial" w:hAnsi="Arial"/>
          <w:sz w:val="22"/>
          <w:szCs w:val="22"/>
        </w:rPr>
        <w:t xml:space="preserve">FR-IRS3: Multiple IRP instances must be bindable to the same IRS (shared whitelist)</w:t>
      </w:r>
    </w:p>
    <w:p>
      <w:pPr>
        <w:pStyle w:val="ListParagraph"/>
        <w:numPr>
          <w:ilvl w:val="0"/>
          <w:numId w:val="2"/>
        </w:numPr>
        <w:spacing w:after="40" w:before="40"/>
      </w:pPr>
      <w:r>
        <w:rPr>
          <w:rFonts w:ascii="Arial" w:cs="Arial" w:eastAsia="Arial" w:hAnsi="Arial"/>
          <w:sz w:val="22"/>
          <w:szCs w:val="22"/>
        </w:rPr>
        <w:t xml:space="preserve">FR-IRS4: register_identity() must be restricted to Identity Agent role</w:t>
      </w:r>
    </w:p>
    <w:p>
      <w:pPr>
        <w:pStyle w:val="ListParagraph"/>
        <w:numPr>
          <w:ilvl w:val="0"/>
          <w:numId w:val="2"/>
        </w:numPr>
        <w:spacing w:after="40" w:before="40"/>
      </w:pPr>
      <w:r>
        <w:rPr>
          <w:rFonts w:ascii="Arial" w:cs="Arial" w:eastAsia="Arial" w:hAnsi="Arial"/>
          <w:sz w:val="22"/>
          <w:szCs w:val="22"/>
        </w:rPr>
        <w:t xml:space="preserve">FR-IRS5: remove_identity() must close the WalletIdentity PDA and reclaim rent</w:t>
      </w:r>
    </w:p>
    <w:p>
      <w:pPr>
        <w:spacing w:after="0" w:before="80"/>
      </w:pPr>
    </w:p>
    <w:p>
      <w:pPr>
        <w:pStyle w:val="Heading2"/>
        <w:spacing w:after="80" w:before="240"/>
      </w:pPr>
      <w:r>
        <w:rPr>
          <w:rFonts w:ascii="Arial" w:cs="Arial" w:eastAsia="Arial" w:hAnsi="Arial"/>
          <w:b/>
          <w:bCs/>
          <w:color w:val="2E75B6"/>
          <w:sz w:val="26"/>
          <w:szCs w:val="26"/>
        </w:rPr>
        <w:t xml:space="preserve">3.6 Trusted Issuers Registry (TIR)</w:t>
      </w:r>
    </w:p>
    <w:p>
      <w:pPr>
        <w:pStyle w:val="ListParagraph"/>
        <w:numPr>
          <w:ilvl w:val="0"/>
          <w:numId w:val="2"/>
        </w:numPr>
        <w:spacing w:after="40" w:before="40"/>
      </w:pPr>
      <w:r>
        <w:rPr>
          <w:rFonts w:ascii="Arial" w:cs="Arial" w:eastAsia="Arial" w:hAnsi="Arial"/>
          <w:sz w:val="22"/>
          <w:szCs w:val="22"/>
        </w:rPr>
        <w:t xml:space="preserve">FR-TIR1: Each trusted issuer must have an IssuerEntry PDA storing their FID pubkey and the topic IDs they are authorized to sign</w:t>
      </w:r>
    </w:p>
    <w:p>
      <w:pPr>
        <w:pStyle w:val="ListParagraph"/>
        <w:numPr>
          <w:ilvl w:val="0"/>
          <w:numId w:val="2"/>
        </w:numPr>
        <w:spacing w:after="40" w:before="40"/>
      </w:pPr>
      <w:r>
        <w:rPr>
          <w:rFonts w:ascii="Arial" w:cs="Arial" w:eastAsia="Arial" w:hAnsi="Arial"/>
          <w:sz w:val="22"/>
          <w:szCs w:val="22"/>
        </w:rPr>
        <w:t xml:space="preserve">FR-TIR2: add_trusted_issuer() must be restricted to Owner</w:t>
      </w:r>
    </w:p>
    <w:p>
      <w:pPr>
        <w:pStyle w:val="ListParagraph"/>
        <w:numPr>
          <w:ilvl w:val="0"/>
          <w:numId w:val="2"/>
        </w:numPr>
        <w:spacing w:after="40" w:before="40"/>
      </w:pPr>
      <w:r>
        <w:rPr>
          <w:rFonts w:ascii="Arial" w:cs="Arial" w:eastAsia="Arial" w:hAnsi="Arial"/>
          <w:sz w:val="22"/>
          <w:szCs w:val="22"/>
        </w:rPr>
        <w:t xml:space="preserve">FR-TIR3: deactivate_issuer() must immediately invalidate all claims from that issuer for is_verified() checks</w:t>
      </w:r>
    </w:p>
    <w:p>
      <w:pPr>
        <w:pStyle w:val="ListParagraph"/>
        <w:numPr>
          <w:ilvl w:val="0"/>
          <w:numId w:val="2"/>
        </w:numPr>
        <w:spacing w:after="40" w:before="40"/>
      </w:pPr>
      <w:r>
        <w:rPr>
          <w:rFonts w:ascii="Arial" w:cs="Arial" w:eastAsia="Arial" w:hAnsi="Arial"/>
          <w:sz w:val="22"/>
          <w:szCs w:val="22"/>
        </w:rPr>
        <w:t xml:space="preserve">FR-TIR4: An issuer deactivated in TIR must result in immediate eligibility loss for any investor whose only valid claim for a topic was from that issuer</w:t>
      </w:r>
    </w:p>
    <w:p>
      <w:pPr>
        <w:pStyle w:val="ListParagraph"/>
        <w:numPr>
          <w:ilvl w:val="0"/>
          <w:numId w:val="2"/>
        </w:numPr>
        <w:spacing w:after="40" w:before="40"/>
      </w:pPr>
      <w:r>
        <w:rPr>
          <w:rFonts w:ascii="Arial" w:cs="Arial" w:eastAsia="Arial" w:hAnsi="Arial"/>
          <w:sz w:val="22"/>
          <w:szCs w:val="22"/>
        </w:rPr>
        <w:t xml:space="preserve">FR-TIR5: Maximum 20 claim topics per IssuerEntry</w:t>
      </w:r>
    </w:p>
    <w:p>
      <w:pPr>
        <w:spacing w:after="0" w:before="80"/>
      </w:pPr>
    </w:p>
    <w:p>
      <w:pPr>
        <w:pStyle w:val="Heading2"/>
        <w:spacing w:after="80" w:before="240"/>
      </w:pPr>
      <w:r>
        <w:rPr>
          <w:rFonts w:ascii="Arial" w:cs="Arial" w:eastAsia="Arial" w:hAnsi="Arial"/>
          <w:b/>
          <w:bCs/>
          <w:color w:val="2E75B6"/>
          <w:sz w:val="26"/>
          <w:szCs w:val="26"/>
        </w:rPr>
        <w:t xml:space="preserve">3.7 Claim Topics Registry (CTR)</w:t>
      </w:r>
    </w:p>
    <w:p>
      <w:pPr>
        <w:pStyle w:val="ListParagraph"/>
        <w:numPr>
          <w:ilvl w:val="0"/>
          <w:numId w:val="2"/>
        </w:numPr>
        <w:spacing w:after="40" w:before="40"/>
      </w:pPr>
      <w:r>
        <w:rPr>
          <w:rFonts w:ascii="Arial" w:cs="Arial" w:eastAsia="Arial" w:hAnsi="Arial"/>
          <w:sz w:val="22"/>
          <w:szCs w:val="22"/>
        </w:rPr>
        <w:t xml:space="preserve">FR-CTR1: CTR must store an ordered list of required claim topic IDs (max 20) for the token</w:t>
      </w:r>
    </w:p>
    <w:p>
      <w:pPr>
        <w:pStyle w:val="ListParagraph"/>
        <w:numPr>
          <w:ilvl w:val="0"/>
          <w:numId w:val="2"/>
        </w:numPr>
        <w:spacing w:after="40" w:before="40"/>
      </w:pPr>
      <w:r>
        <w:rPr>
          <w:rFonts w:ascii="Arial" w:cs="Arial" w:eastAsia="Arial" w:hAnsi="Arial"/>
          <w:sz w:val="22"/>
          <w:szCs w:val="22"/>
        </w:rPr>
        <w:t xml:space="preserve">FR-CTR2: add_claim_topic() and remove_claim_topic() must be restricted to Owner</w:t>
      </w:r>
    </w:p>
    <w:p>
      <w:pPr>
        <w:pStyle w:val="ListParagraph"/>
        <w:numPr>
          <w:ilvl w:val="0"/>
          <w:numId w:val="2"/>
        </w:numPr>
        <w:spacing w:after="40" w:before="40"/>
      </w:pPr>
      <w:r>
        <w:rPr>
          <w:rFonts w:ascii="Arial" w:cs="Arial" w:eastAsia="Arial" w:hAnsi="Arial"/>
          <w:sz w:val="22"/>
          <w:szCs w:val="22"/>
        </w:rPr>
        <w:t xml:space="preserve">FR-CTR3: Removing a topic from CTR must immediately relax verification requirements (investors no longer need that claim)</w:t>
      </w:r>
    </w:p>
    <w:p>
      <w:pPr>
        <w:pStyle w:val="ListParagraph"/>
        <w:numPr>
          <w:ilvl w:val="0"/>
          <w:numId w:val="2"/>
        </w:numPr>
        <w:spacing w:after="40" w:before="40"/>
      </w:pPr>
      <w:r>
        <w:rPr>
          <w:rFonts w:ascii="Arial" w:cs="Arial" w:eastAsia="Arial" w:hAnsi="Arial"/>
          <w:sz w:val="22"/>
          <w:szCs w:val="22"/>
        </w:rPr>
        <w:t xml:space="preserve">FR-CTR4: Adding a topic to CTR must immediately tighten verification — investors without that claim become ineligible</w:t>
      </w:r>
    </w:p>
    <w:p>
      <w:pPr>
        <w:spacing w:after="0" w:before="80"/>
      </w:pPr>
    </w:p>
    <w:p>
      <w:pPr>
        <w:pStyle w:val="Heading2"/>
        <w:spacing w:after="80" w:before="240"/>
      </w:pPr>
      <w:r>
        <w:rPr>
          <w:rFonts w:ascii="Arial" w:cs="Arial" w:eastAsia="Arial" w:hAnsi="Arial"/>
          <w:b/>
          <w:bCs/>
          <w:color w:val="2E75B6"/>
          <w:sz w:val="26"/>
          <w:szCs w:val="26"/>
        </w:rPr>
        <w:t xml:space="preserve">3.8 Compliance Program (CP)</w:t>
      </w:r>
    </w:p>
    <w:p>
      <w:pPr>
        <w:pStyle w:val="ListParagraph"/>
        <w:numPr>
          <w:ilvl w:val="0"/>
          <w:numId w:val="2"/>
        </w:numPr>
        <w:spacing w:after="40" w:before="40"/>
      </w:pPr>
      <w:r>
        <w:rPr>
          <w:rFonts w:ascii="Arial" w:cs="Arial" w:eastAsia="Arial" w:hAnsi="Arial"/>
          <w:sz w:val="22"/>
          <w:szCs w:val="22"/>
        </w:rPr>
        <w:t xml:space="preserve">FR-CP1: can_transfer(from, to, amount) must iterate all bound modules and return true only if ALL pass</w:t>
      </w:r>
    </w:p>
    <w:p>
      <w:pPr>
        <w:pStyle w:val="ListParagraph"/>
        <w:numPr>
          <w:ilvl w:val="0"/>
          <w:numId w:val="2"/>
        </w:numPr>
        <w:spacing w:after="40" w:before="40"/>
      </w:pPr>
      <w:r>
        <w:rPr>
          <w:rFonts w:ascii="Arial" w:cs="Arial" w:eastAsia="Arial" w:hAnsi="Arial"/>
          <w:sz w:val="22"/>
          <w:szCs w:val="22"/>
        </w:rPr>
        <w:t xml:space="preserve">FR-CP2: transferred(from, to, amount) post-hook must be called after every successful transfer to update module state</w:t>
      </w:r>
    </w:p>
    <w:p>
      <w:pPr>
        <w:pStyle w:val="ListParagraph"/>
        <w:numPr>
          <w:ilvl w:val="0"/>
          <w:numId w:val="2"/>
        </w:numPr>
        <w:spacing w:after="40" w:before="40"/>
      </w:pPr>
      <w:r>
        <w:rPr>
          <w:rFonts w:ascii="Arial" w:cs="Arial" w:eastAsia="Arial" w:hAnsi="Arial"/>
          <w:sz w:val="22"/>
          <w:szCs w:val="22"/>
        </w:rPr>
        <w:t xml:space="preserve">FR-CP3: created(to, amount) must be called after mint; destroyed(from, amount) must be called after burn</w:t>
      </w:r>
    </w:p>
    <w:p>
      <w:pPr>
        <w:pStyle w:val="ListParagraph"/>
        <w:numPr>
          <w:ilvl w:val="0"/>
          <w:numId w:val="2"/>
        </w:numPr>
        <w:spacing w:after="40" w:before="40"/>
      </w:pPr>
      <w:r>
        <w:rPr>
          <w:rFonts w:ascii="Arial" w:cs="Arial" w:eastAsia="Arial" w:hAnsi="Arial"/>
          <w:sz w:val="22"/>
          <w:szCs w:val="22"/>
        </w:rPr>
        <w:t xml:space="preserve">FR-CP4: Maximum 15 compliance modules may be bound simultaneously</w:t>
      </w:r>
    </w:p>
    <w:p>
      <w:pPr>
        <w:pStyle w:val="ListParagraph"/>
        <w:numPr>
          <w:ilvl w:val="0"/>
          <w:numId w:val="2"/>
        </w:numPr>
        <w:spacing w:after="40" w:before="40"/>
      </w:pPr>
      <w:r>
        <w:rPr>
          <w:rFonts w:ascii="Arial" w:cs="Arial" w:eastAsia="Arial" w:hAnsi="Arial"/>
          <w:sz w:val="22"/>
          <w:szCs w:val="22"/>
        </w:rPr>
        <w:t xml:space="preserve">FR-CP5: modules_paused flag must short-circuit all module checks (emergency bypass)</w:t>
      </w:r>
    </w:p>
    <w:p>
      <w:pPr>
        <w:pStyle w:val="ListParagraph"/>
        <w:numPr>
          <w:ilvl w:val="0"/>
          <w:numId w:val="2"/>
        </w:numPr>
        <w:spacing w:after="40" w:before="40"/>
      </w:pPr>
      <w:r>
        <w:rPr>
          <w:rFonts w:ascii="Arial" w:cs="Arial" w:eastAsia="Arial" w:hAnsi="Arial"/>
          <w:sz w:val="22"/>
          <w:szCs w:val="22"/>
        </w:rPr>
        <w:t xml:space="preserve">FR-CP6: bind_module() and unbind_module() must be restricted to Owner</w:t>
      </w:r>
    </w:p>
    <w:p>
      <w:pPr>
        <w:spacing w:after="0" w:before="80"/>
      </w:pPr>
    </w:p>
    <w:p>
      <w:pPr>
        <w:pStyle w:val="Heading2"/>
        <w:spacing w:after="80" w:before="240"/>
      </w:pPr>
      <w:r>
        <w:rPr>
          <w:rFonts w:ascii="Arial" w:cs="Arial" w:eastAsia="Arial" w:hAnsi="Arial"/>
          <w:b/>
          <w:bCs/>
          <w:color w:val="2E75B6"/>
          <w:sz w:val="26"/>
          <w:szCs w:val="26"/>
        </w:rPr>
        <w:t xml:space="preserve">3.9 Built-in Compliance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25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c>
          <w:tcPr>
            <w:tcW w:type="dxa" w:w="2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 Updated On</w:t>
            </w:r>
          </w:p>
        </w:tc>
      </w:tr>
      <w:tr>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MaxInvestorsModule</w:t>
            </w:r>
          </w:p>
        </w:tc>
        <w:tc>
          <w:tcPr>
            <w:tcW w:type="dxa" w:w="25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Block transfer if unique holder count &gt;= max_investors</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max_investors: u64</w:t>
            </w:r>
          </w:p>
        </w:tc>
        <w:tc>
          <w:tcPr>
            <w:tcW w:type="dxa" w:w="2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transferred(), created()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CountryRestrictModule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Block transfer if receiver country in blocked_countries list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blocked_countries: Vec&lt;u16&gt;</w:t>
            </w:r>
          </w:p>
        </w:tc>
        <w:tc>
          <w:tcPr>
            <w:tcW w:type="dxa" w:w="2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None (read-only)</w:t>
            </w:r>
          </w:p>
        </w:tc>
      </w:tr>
      <w:tr>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MaxBalanceModule</w:t>
            </w:r>
          </w:p>
        </w:tc>
        <w:tc>
          <w:tcPr>
            <w:tcW w:type="dxa" w:w="25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Block transfer if receiver post-transfer balance &gt; max_balance</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max_balance: u64</w:t>
            </w:r>
          </w:p>
        </w:tc>
        <w:tc>
          <w:tcPr>
            <w:tcW w:type="dxa" w:w="2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None (read-only)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MaxTransferModule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Block if transfer amount &gt; max_amount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max_amount: u64</w:t>
            </w:r>
          </w:p>
        </w:tc>
        <w:tc>
          <w:tcPr>
            <w:tcW w:type="dxa" w:w="2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None (read-only)</w:t>
            </w:r>
          </w:p>
        </w:tc>
      </w:tr>
      <w:tr>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LockupModule</w:t>
            </w:r>
          </w:p>
        </w:tc>
        <w:tc>
          <w:tcPr>
            <w:tcW w:type="dxa" w:w="25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Block transfer if current time &lt; lockup_end</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lockup_end: i64</w:t>
            </w:r>
          </w:p>
        </w:tc>
        <w:tc>
          <w:tcPr>
            <w:tcW w:type="dxa" w:w="2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None (read-only)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DailyTransferLimitModule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Block if sender daily volume &gt; daily_limit</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daily_limit: u64</w:t>
            </w:r>
          </w:p>
        </w:tc>
        <w:tc>
          <w:tcPr>
            <w:tcW w:type="dxa" w:w="2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transferred()</w:t>
            </w:r>
          </w:p>
        </w:tc>
      </w:tr>
      <w:tr>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SupplyCapModule</w:t>
            </w:r>
          </w:p>
        </w:tc>
        <w:tc>
          <w:tcPr>
            <w:tcW w:type="dxa" w:w="25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Block mint if total supply would exceed max_supply</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max_supply: u64</w:t>
            </w:r>
          </w:p>
        </w:tc>
        <w:tc>
          <w:tcPr>
            <w:tcW w:type="dxa" w:w="2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created(), destroyed()</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InvestorCountryCapModule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Block if investor count per country &gt;= country_cap</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country_caps: HashMap&lt;u16,u64&gt;</w:t>
            </w:r>
          </w:p>
        </w:tc>
        <w:tc>
          <w:tcPr>
            <w:tcW w:type="dxa" w:w="2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transferred(), created()</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4. Non-Functional Requirements</w:t>
      </w:r>
    </w:p>
    <w:p>
      <w:pPr>
        <w:pStyle w:val="Heading2"/>
        <w:spacing w:after="80" w:before="240"/>
      </w:pPr>
      <w:r>
        <w:rPr>
          <w:rFonts w:ascii="Arial" w:cs="Arial" w:eastAsia="Arial" w:hAnsi="Arial"/>
          <w:b/>
          <w:bCs/>
          <w:color w:val="2E75B6"/>
          <w:sz w:val="26"/>
          <w:szCs w:val="26"/>
        </w:rPr>
        <w:t xml:space="preserve">4.1 Performance</w:t>
      </w:r>
    </w:p>
    <w:p>
      <w:pPr>
        <w:pStyle w:val="ListParagraph"/>
        <w:numPr>
          <w:ilvl w:val="0"/>
          <w:numId w:val="2"/>
        </w:numPr>
        <w:spacing w:after="40" w:before="40"/>
      </w:pPr>
      <w:r>
        <w:rPr>
          <w:rFonts w:ascii="Arial" w:cs="Arial" w:eastAsia="Arial" w:hAnsi="Arial"/>
          <w:sz w:val="22"/>
          <w:szCs w:val="22"/>
        </w:rPr>
        <w:t xml:space="preserve">NFR-P1: A standard compliant transfer (2 claim topics, 2 modules) must execute within Solana's 200,000 compute unit limit per transaction</w:t>
      </w:r>
    </w:p>
    <w:p>
      <w:pPr>
        <w:pStyle w:val="ListParagraph"/>
        <w:numPr>
          <w:ilvl w:val="0"/>
          <w:numId w:val="2"/>
        </w:numPr>
        <w:spacing w:after="40" w:before="40"/>
      </w:pPr>
      <w:r>
        <w:rPr>
          <w:rFonts w:ascii="Arial" w:cs="Arial" w:eastAsia="Arial" w:hAnsi="Arial"/>
          <w:sz w:val="22"/>
          <w:szCs w:val="22"/>
        </w:rPr>
        <w:t xml:space="preserve">NFR-P2: The Factory deploy_token_suite() may be split across two transactions if the 1.2M compute unit limit is approached</w:t>
      </w:r>
    </w:p>
    <w:p>
      <w:pPr>
        <w:pStyle w:val="ListParagraph"/>
        <w:numPr>
          <w:ilvl w:val="0"/>
          <w:numId w:val="2"/>
        </w:numPr>
        <w:spacing w:after="40" w:before="40"/>
      </w:pPr>
      <w:r>
        <w:rPr>
          <w:rFonts w:ascii="Arial" w:cs="Arial" w:eastAsia="Arial" w:hAnsi="Arial"/>
          <w:sz w:val="22"/>
          <w:szCs w:val="22"/>
        </w:rPr>
        <w:t xml:space="preserve">NFR-P3: Batch operations (batch_mint, batch_register) must process at least 5 items per transaction</w:t>
      </w:r>
    </w:p>
    <w:p>
      <w:pPr>
        <w:pStyle w:val="ListParagraph"/>
        <w:numPr>
          <w:ilvl w:val="0"/>
          <w:numId w:val="2"/>
        </w:numPr>
        <w:spacing w:after="40" w:before="40"/>
      </w:pPr>
      <w:r>
        <w:rPr>
          <w:rFonts w:ascii="Arial" w:cs="Arial" w:eastAsia="Arial" w:hAnsi="Arial"/>
          <w:sz w:val="22"/>
          <w:szCs w:val="22"/>
        </w:rPr>
        <w:t xml:space="preserve">NFR-P4: is_verified() must be a read-only CPI that does not modify state</w:t>
      </w:r>
    </w:p>
    <w:p>
      <w:pPr>
        <w:spacing w:after="0" w:before="80"/>
      </w:pPr>
    </w:p>
    <w:p>
      <w:pPr>
        <w:pStyle w:val="Heading2"/>
        <w:spacing w:after="80" w:before="240"/>
      </w:pPr>
      <w:r>
        <w:rPr>
          <w:rFonts w:ascii="Arial" w:cs="Arial" w:eastAsia="Arial" w:hAnsi="Arial"/>
          <w:b/>
          <w:bCs/>
          <w:color w:val="2E75B6"/>
          <w:sz w:val="26"/>
          <w:szCs w:val="26"/>
        </w:rPr>
        <w:t xml:space="preserve">4.2 Security</w:t>
      </w:r>
    </w:p>
    <w:p>
      <w:pPr>
        <w:pStyle w:val="ListParagraph"/>
        <w:numPr>
          <w:ilvl w:val="0"/>
          <w:numId w:val="2"/>
        </w:numPr>
        <w:spacing w:after="40" w:before="40"/>
      </w:pPr>
      <w:r>
        <w:rPr>
          <w:rFonts w:ascii="Arial" w:cs="Arial" w:eastAsia="Arial" w:hAnsi="Arial"/>
          <w:sz w:val="22"/>
          <w:szCs w:val="22"/>
        </w:rPr>
        <w:t xml:space="preserve">NFR-S1: All Owner-level instructions must verify the signer is the OwnerState.owner pubkey</w:t>
      </w:r>
    </w:p>
    <w:p>
      <w:pPr>
        <w:pStyle w:val="ListParagraph"/>
        <w:numPr>
          <w:ilvl w:val="0"/>
          <w:numId w:val="2"/>
        </w:numPr>
        <w:spacing w:after="40" w:before="40"/>
      </w:pPr>
      <w:r>
        <w:rPr>
          <w:rFonts w:ascii="Arial" w:cs="Arial" w:eastAsia="Arial" w:hAnsi="Arial"/>
          <w:sz w:val="22"/>
          <w:szCs w:val="22"/>
        </w:rPr>
        <w:t xml:space="preserve">NFR-S2: All Agent-level instructions must verify existence of AgentRole PDA for the signer</w:t>
      </w:r>
    </w:p>
    <w:p>
      <w:pPr>
        <w:pStyle w:val="ListParagraph"/>
        <w:numPr>
          <w:ilvl w:val="0"/>
          <w:numId w:val="2"/>
        </w:numPr>
        <w:spacing w:after="40" w:before="40"/>
      </w:pPr>
      <w:r>
        <w:rPr>
          <w:rFonts w:ascii="Arial" w:cs="Arial" w:eastAsia="Arial" w:hAnsi="Arial"/>
          <w:sz w:val="22"/>
          <w:szCs w:val="22"/>
        </w:rPr>
        <w:t xml:space="preserve">NFR-S3: CPI callers must be validated — Token Program must verify IRP and CP program IDs match TokenState</w:t>
      </w:r>
    </w:p>
    <w:p>
      <w:pPr>
        <w:pStyle w:val="ListParagraph"/>
        <w:numPr>
          <w:ilvl w:val="0"/>
          <w:numId w:val="2"/>
        </w:numPr>
        <w:spacing w:after="40" w:before="40"/>
      </w:pPr>
      <w:r>
        <w:rPr>
          <w:rFonts w:ascii="Arial" w:cs="Arial" w:eastAsia="Arial" w:hAnsi="Arial"/>
          <w:sz w:val="22"/>
          <w:szCs w:val="22"/>
        </w:rPr>
        <w:t xml:space="preserve">NFR-S4: Claim signatures must be verified on-chain using ed25519 instruction introspection</w:t>
      </w:r>
    </w:p>
    <w:p>
      <w:pPr>
        <w:pStyle w:val="ListParagraph"/>
        <w:numPr>
          <w:ilvl w:val="0"/>
          <w:numId w:val="2"/>
        </w:numPr>
        <w:spacing w:after="40" w:before="40"/>
      </w:pPr>
      <w:r>
        <w:rPr>
          <w:rFonts w:ascii="Arial" w:cs="Arial" w:eastAsia="Arial" w:hAnsi="Arial"/>
          <w:sz w:val="22"/>
          <w:szCs w:val="22"/>
        </w:rPr>
        <w:t xml:space="preserve">NFR-S5: PDA seeds must use canonical ordering to prevent seed collision attacks</w:t>
      </w:r>
    </w:p>
    <w:p>
      <w:pPr>
        <w:pStyle w:val="ListParagraph"/>
        <w:numPr>
          <w:ilvl w:val="0"/>
          <w:numId w:val="2"/>
        </w:numPr>
        <w:spacing w:after="40" w:before="40"/>
      </w:pPr>
      <w:r>
        <w:rPr>
          <w:rFonts w:ascii="Arial" w:cs="Arial" w:eastAsia="Arial" w:hAnsi="Arial"/>
          <w:sz w:val="22"/>
          <w:szCs w:val="22"/>
        </w:rPr>
        <w:t xml:space="preserve">NFR-S6: All PDAs must be rent-exempt at creation</w:t>
      </w:r>
    </w:p>
    <w:p>
      <w:pPr>
        <w:pStyle w:val="ListParagraph"/>
        <w:numPr>
          <w:ilvl w:val="0"/>
          <w:numId w:val="2"/>
        </w:numPr>
        <w:spacing w:after="40" w:before="40"/>
      </w:pPr>
      <w:r>
        <w:rPr>
          <w:rFonts w:ascii="Arial" w:cs="Arial" w:eastAsia="Arial" w:hAnsi="Arial"/>
          <w:sz w:val="22"/>
          <w:szCs w:val="22"/>
        </w:rPr>
        <w:t xml:space="preserve">NFR-S7: Ownership transfer must be two-step (pending_owner) to prevent accidental loss</w:t>
      </w:r>
    </w:p>
    <w:p>
      <w:pPr>
        <w:pStyle w:val="ListParagraph"/>
        <w:numPr>
          <w:ilvl w:val="0"/>
          <w:numId w:val="2"/>
        </w:numPr>
        <w:spacing w:after="40" w:before="40"/>
      </w:pPr>
      <w:r>
        <w:rPr>
          <w:rFonts w:ascii="Arial" w:cs="Arial" w:eastAsia="Arial" w:hAnsi="Arial"/>
          <w:sz w:val="22"/>
          <w:szCs w:val="22"/>
        </w:rPr>
        <w:t xml:space="preserve">NFR-S8: Factory must use salt uniqueness to prevent duplicate deployment attacks</w:t>
      </w:r>
    </w:p>
    <w:p>
      <w:pPr>
        <w:spacing w:after="0" w:before="80"/>
      </w:pPr>
    </w:p>
    <w:p>
      <w:pPr>
        <w:pStyle w:val="Heading2"/>
        <w:spacing w:after="80" w:before="240"/>
      </w:pPr>
      <w:r>
        <w:rPr>
          <w:rFonts w:ascii="Arial" w:cs="Arial" w:eastAsia="Arial" w:hAnsi="Arial"/>
          <w:b/>
          <w:bCs/>
          <w:color w:val="2E75B6"/>
          <w:sz w:val="26"/>
          <w:szCs w:val="26"/>
        </w:rPr>
        <w:t xml:space="preserve">4.3 Auditability</w:t>
      </w:r>
    </w:p>
    <w:p>
      <w:pPr>
        <w:pStyle w:val="ListParagraph"/>
        <w:numPr>
          <w:ilvl w:val="0"/>
          <w:numId w:val="2"/>
        </w:numPr>
        <w:spacing w:after="40" w:before="40"/>
      </w:pPr>
      <w:r>
        <w:rPr>
          <w:rFonts w:ascii="Arial" w:cs="Arial" w:eastAsia="Arial" w:hAnsi="Arial"/>
          <w:sz w:val="22"/>
          <w:szCs w:val="22"/>
        </w:rPr>
        <w:t xml:space="preserve">NFR-A1: Every state-modifying instruction must emit a corresponding on-chain event (anchor event!)</w:t>
      </w:r>
    </w:p>
    <w:p>
      <w:pPr>
        <w:pStyle w:val="ListParagraph"/>
        <w:numPr>
          <w:ilvl w:val="0"/>
          <w:numId w:val="2"/>
        </w:numPr>
        <w:spacing w:after="40" w:before="40"/>
      </w:pPr>
      <w:r>
        <w:rPr>
          <w:rFonts w:ascii="Arial" w:cs="Arial" w:eastAsia="Arial" w:hAnsi="Arial"/>
          <w:sz w:val="22"/>
          <w:szCs w:val="22"/>
        </w:rPr>
        <w:t xml:space="preserve">NFR-A2: Events must be indexable by Helius, Triton, or equivalent Solana indexers</w:t>
      </w:r>
    </w:p>
    <w:p>
      <w:pPr>
        <w:pStyle w:val="ListParagraph"/>
        <w:numPr>
          <w:ilvl w:val="0"/>
          <w:numId w:val="2"/>
        </w:numPr>
        <w:spacing w:after="40" w:before="40"/>
      </w:pPr>
      <w:r>
        <w:rPr>
          <w:rFonts w:ascii="Arial" w:cs="Arial" w:eastAsia="Arial" w:hAnsi="Arial"/>
          <w:sz w:val="22"/>
          <w:szCs w:val="22"/>
        </w:rPr>
        <w:t xml:space="preserve">NFR-A3: All PDAs must be inspectable via standard Solana account reads</w:t>
      </w:r>
    </w:p>
    <w:p>
      <w:pPr>
        <w:pStyle w:val="ListParagraph"/>
        <w:numPr>
          <w:ilvl w:val="0"/>
          <w:numId w:val="2"/>
        </w:numPr>
        <w:spacing w:after="40" w:before="40"/>
      </w:pPr>
      <w:r>
        <w:rPr>
          <w:rFonts w:ascii="Arial" w:cs="Arial" w:eastAsia="Arial" w:hAnsi="Arial"/>
          <w:sz w:val="22"/>
          <w:szCs w:val="22"/>
        </w:rPr>
        <w:t xml:space="preserve">NFR-A4: TransferRejected events must include the specific error code for compliance reporting</w:t>
      </w:r>
    </w:p>
    <w:p>
      <w:pPr>
        <w:spacing w:after="0" w:before="80"/>
      </w:pPr>
    </w:p>
    <w:p>
      <w:pPr>
        <w:pStyle w:val="Heading2"/>
        <w:spacing w:after="80" w:before="240"/>
      </w:pPr>
      <w:r>
        <w:rPr>
          <w:rFonts w:ascii="Arial" w:cs="Arial" w:eastAsia="Arial" w:hAnsi="Arial"/>
          <w:b/>
          <w:bCs/>
          <w:color w:val="2E75B6"/>
          <w:sz w:val="26"/>
          <w:szCs w:val="26"/>
        </w:rPr>
        <w:t xml:space="preserve">4.4 Upgradeability</w:t>
      </w:r>
    </w:p>
    <w:p>
      <w:pPr>
        <w:pStyle w:val="ListParagraph"/>
        <w:numPr>
          <w:ilvl w:val="0"/>
          <w:numId w:val="2"/>
        </w:numPr>
        <w:spacing w:after="40" w:before="40"/>
      </w:pPr>
      <w:r>
        <w:rPr>
          <w:rFonts w:ascii="Arial" w:cs="Arial" w:eastAsia="Arial" w:hAnsi="Arial"/>
          <w:sz w:val="22"/>
          <w:szCs w:val="22"/>
        </w:rPr>
        <w:t xml:space="preserve">NFR-U1: All programs must be deployed as BPF upgradeable programs with the FRACKS Protocol Multisig as upgrade authority</w:t>
      </w:r>
    </w:p>
    <w:p>
      <w:pPr>
        <w:pStyle w:val="ListParagraph"/>
        <w:numPr>
          <w:ilvl w:val="0"/>
          <w:numId w:val="2"/>
        </w:numPr>
        <w:spacing w:after="40" w:before="40"/>
      </w:pPr>
      <w:r>
        <w:rPr>
          <w:rFonts w:ascii="Arial" w:cs="Arial" w:eastAsia="Arial" w:hAnsi="Arial"/>
          <w:sz w:val="22"/>
          <w:szCs w:val="22"/>
        </w:rPr>
        <w:t xml:space="preserve">NFR-U2: Protocol upgrades must not require existing token deployments to be re-initialized</w:t>
      </w:r>
    </w:p>
    <w:p>
      <w:pPr>
        <w:pStyle w:val="ListParagraph"/>
        <w:numPr>
          <w:ilvl w:val="0"/>
          <w:numId w:val="2"/>
        </w:numPr>
        <w:spacing w:after="40" w:before="40"/>
      </w:pPr>
      <w:r>
        <w:rPr>
          <w:rFonts w:ascii="Arial" w:cs="Arial" w:eastAsia="Arial" w:hAnsi="Arial"/>
          <w:sz w:val="22"/>
          <w:szCs w:val="22"/>
        </w:rPr>
        <w:t xml:space="preserve">NFR-U3: The FactoryState must store all canonical program IDs to support version management</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5. User Stories</w:t>
      </w:r>
    </w:p>
    <w:p>
      <w:pPr>
        <w:pStyle w:val="Heading2"/>
        <w:spacing w:after="80" w:before="240"/>
      </w:pPr>
      <w:r>
        <w:rPr>
          <w:rFonts w:ascii="Arial" w:cs="Arial" w:eastAsia="Arial" w:hAnsi="Arial"/>
          <w:b/>
          <w:bCs/>
          <w:color w:val="2E75B6"/>
          <w:sz w:val="26"/>
          <w:szCs w:val="26"/>
        </w:rPr>
        <w:t xml:space="preserve">5.1 Token Issuer</w:t>
      </w:r>
    </w:p>
    <w:p>
      <w:pPr>
        <w:pStyle w:val="ListParagraph"/>
        <w:numPr>
          <w:ilvl w:val="0"/>
          <w:numId w:val="2"/>
        </w:numPr>
        <w:spacing w:after="40" w:before="40"/>
      </w:pPr>
      <w:r>
        <w:rPr>
          <w:rFonts w:ascii="Arial" w:cs="Arial" w:eastAsia="Arial" w:hAnsi="Arial"/>
          <w:sz w:val="22"/>
          <w:szCs w:val="22"/>
        </w:rPr>
        <w:t xml:space="preserve">As a token issuer, I want to deploy a complete compliant RWA token suite in one factory transaction so I do not have to manually initialize 8 separate program states</w:t>
      </w:r>
    </w:p>
    <w:p>
      <w:pPr>
        <w:pStyle w:val="ListParagraph"/>
        <w:numPr>
          <w:ilvl w:val="0"/>
          <w:numId w:val="2"/>
        </w:numPr>
        <w:spacing w:after="40" w:before="40"/>
      </w:pPr>
      <w:r>
        <w:rPr>
          <w:rFonts w:ascii="Arial" w:cs="Arial" w:eastAsia="Arial" w:hAnsi="Arial"/>
          <w:sz w:val="22"/>
          <w:szCs w:val="22"/>
        </w:rPr>
        <w:t xml:space="preserve">As a token issuer, I want to add or remove compliance modules at any time without redeploying programs so I can adapt to changing regulations</w:t>
      </w:r>
    </w:p>
    <w:p>
      <w:pPr>
        <w:pStyle w:val="ListParagraph"/>
        <w:numPr>
          <w:ilvl w:val="0"/>
          <w:numId w:val="2"/>
        </w:numPr>
        <w:spacing w:after="40" w:before="40"/>
      </w:pPr>
      <w:r>
        <w:rPr>
          <w:rFonts w:ascii="Arial" w:cs="Arial" w:eastAsia="Arial" w:hAnsi="Arial"/>
          <w:sz w:val="22"/>
          <w:szCs w:val="22"/>
        </w:rPr>
        <w:t xml:space="preserve">As a token issuer, I want to pause all token transfers instantly in the event of a regulatory hold or security incident</w:t>
      </w:r>
    </w:p>
    <w:p>
      <w:pPr>
        <w:pStyle w:val="ListParagraph"/>
        <w:numPr>
          <w:ilvl w:val="0"/>
          <w:numId w:val="2"/>
        </w:numPr>
        <w:spacing w:after="40" w:before="40"/>
      </w:pPr>
      <w:r>
        <w:rPr>
          <w:rFonts w:ascii="Arial" w:cs="Arial" w:eastAsia="Arial" w:hAnsi="Arial"/>
          <w:sz w:val="22"/>
          <w:szCs w:val="22"/>
        </w:rPr>
        <w:t xml:space="preserve">As a token issuer, I want to designate multiple agents who can mint, freeze, and register investors on my behalf</w:t>
      </w:r>
    </w:p>
    <w:p>
      <w:pPr>
        <w:pStyle w:val="ListParagraph"/>
        <w:numPr>
          <w:ilvl w:val="0"/>
          <w:numId w:val="2"/>
        </w:numPr>
        <w:spacing w:after="40" w:before="40"/>
      </w:pPr>
      <w:r>
        <w:rPr>
          <w:rFonts w:ascii="Arial" w:cs="Arial" w:eastAsia="Arial" w:hAnsi="Arial"/>
          <w:sz w:val="22"/>
          <w:szCs w:val="22"/>
        </w:rPr>
        <w:t xml:space="preserve">As a token issuer, I want to transfer my ownership to a Squads multisig after deployment for enhanced security</w:t>
      </w:r>
    </w:p>
    <w:p>
      <w:pPr>
        <w:spacing w:after="0" w:before="80"/>
      </w:pPr>
    </w:p>
    <w:p>
      <w:pPr>
        <w:pStyle w:val="Heading2"/>
        <w:spacing w:after="80" w:before="240"/>
      </w:pPr>
      <w:r>
        <w:rPr>
          <w:rFonts w:ascii="Arial" w:cs="Arial" w:eastAsia="Arial" w:hAnsi="Arial"/>
          <w:b/>
          <w:bCs/>
          <w:color w:val="2E75B6"/>
          <w:sz w:val="26"/>
          <w:szCs w:val="26"/>
        </w:rPr>
        <w:t xml:space="preserve">5.2 KYC/AML Provider</w:t>
      </w:r>
    </w:p>
    <w:p>
      <w:pPr>
        <w:pStyle w:val="ListParagraph"/>
        <w:numPr>
          <w:ilvl w:val="0"/>
          <w:numId w:val="2"/>
        </w:numPr>
        <w:spacing w:after="40" w:before="40"/>
      </w:pPr>
      <w:r>
        <w:rPr>
          <w:rFonts w:ascii="Arial" w:cs="Arial" w:eastAsia="Arial" w:hAnsi="Arial"/>
          <w:sz w:val="22"/>
          <w:szCs w:val="22"/>
        </w:rPr>
        <w:t xml:space="preserve">As a KYC provider, I want to create my own FID account and be added to the TIR so I can issue legally binding on-chain claims</w:t>
      </w:r>
    </w:p>
    <w:p>
      <w:pPr>
        <w:pStyle w:val="ListParagraph"/>
        <w:numPr>
          <w:ilvl w:val="0"/>
          <w:numId w:val="2"/>
        </w:numPr>
        <w:spacing w:after="40" w:before="40"/>
      </w:pPr>
      <w:r>
        <w:rPr>
          <w:rFonts w:ascii="Arial" w:cs="Arial" w:eastAsia="Arial" w:hAnsi="Arial"/>
          <w:sz w:val="22"/>
          <w:szCs w:val="22"/>
        </w:rPr>
        <w:t xml:space="preserve">As a KYC provider, I want to rotate my signer key if it is compromised, immediately invalidating all claims I issued with the old key</w:t>
      </w:r>
    </w:p>
    <w:p>
      <w:pPr>
        <w:pStyle w:val="ListParagraph"/>
        <w:numPr>
          <w:ilvl w:val="0"/>
          <w:numId w:val="2"/>
        </w:numPr>
        <w:spacing w:after="40" w:before="40"/>
      </w:pPr>
      <w:r>
        <w:rPr>
          <w:rFonts w:ascii="Arial" w:cs="Arial" w:eastAsia="Arial" w:hAnsi="Arial"/>
          <w:sz w:val="22"/>
          <w:szCs w:val="22"/>
        </w:rPr>
        <w:t xml:space="preserve">As a KYC provider, I want to revoke a specific claim if an investor's KYC status changes (e.g., sanctions match)</w:t>
      </w:r>
    </w:p>
    <w:p>
      <w:pPr>
        <w:pStyle w:val="ListParagraph"/>
        <w:numPr>
          <w:ilvl w:val="0"/>
          <w:numId w:val="2"/>
        </w:numPr>
        <w:spacing w:after="40" w:before="40"/>
      </w:pPr>
      <w:r>
        <w:rPr>
          <w:rFonts w:ascii="Arial" w:cs="Arial" w:eastAsia="Arial" w:hAnsi="Arial"/>
          <w:sz w:val="22"/>
          <w:szCs w:val="22"/>
        </w:rPr>
        <w:t xml:space="preserve">As a KYC provider, I want to be scoped to only the claim topics I am licensed for (e.g., KYC only, not AML)</w:t>
      </w:r>
    </w:p>
    <w:p>
      <w:pPr>
        <w:spacing w:after="0" w:before="80"/>
      </w:pPr>
    </w:p>
    <w:p>
      <w:pPr>
        <w:pStyle w:val="Heading2"/>
        <w:spacing w:after="80" w:before="240"/>
      </w:pPr>
      <w:r>
        <w:rPr>
          <w:rFonts w:ascii="Arial" w:cs="Arial" w:eastAsia="Arial" w:hAnsi="Arial"/>
          <w:b/>
          <w:bCs/>
          <w:color w:val="2E75B6"/>
          <w:sz w:val="26"/>
          <w:szCs w:val="26"/>
        </w:rPr>
        <w:t xml:space="preserve">5.3 Investor</w:t>
      </w:r>
    </w:p>
    <w:p>
      <w:pPr>
        <w:pStyle w:val="ListParagraph"/>
        <w:numPr>
          <w:ilvl w:val="0"/>
          <w:numId w:val="2"/>
        </w:numPr>
        <w:spacing w:after="40" w:before="40"/>
      </w:pPr>
      <w:r>
        <w:rPr>
          <w:rFonts w:ascii="Arial" w:cs="Arial" w:eastAsia="Arial" w:hAnsi="Arial"/>
          <w:sz w:val="22"/>
          <w:szCs w:val="22"/>
        </w:rPr>
        <w:t xml:space="preserve">As an investor, I want to create my own FID once and reuse it across all FRACKS token offerings without re-doing KYC</w:t>
      </w:r>
    </w:p>
    <w:p>
      <w:pPr>
        <w:pStyle w:val="ListParagraph"/>
        <w:numPr>
          <w:ilvl w:val="0"/>
          <w:numId w:val="2"/>
        </w:numPr>
        <w:spacing w:after="40" w:before="40"/>
      </w:pPr>
      <w:r>
        <w:rPr>
          <w:rFonts w:ascii="Arial" w:cs="Arial" w:eastAsia="Arial" w:hAnsi="Arial"/>
          <w:sz w:val="22"/>
          <w:szCs w:val="22"/>
        </w:rPr>
        <w:t xml:space="preserve">As an investor, I want to transfer tokens to another verified investor without any manual approval step — the compliance check is automatic</w:t>
      </w:r>
    </w:p>
    <w:p>
      <w:pPr>
        <w:pStyle w:val="ListParagraph"/>
        <w:numPr>
          <w:ilvl w:val="0"/>
          <w:numId w:val="2"/>
        </w:numPr>
        <w:spacing w:after="40" w:before="40"/>
      </w:pPr>
      <w:r>
        <w:rPr>
          <w:rFonts w:ascii="Arial" w:cs="Arial" w:eastAsia="Arial" w:hAnsi="Arial"/>
          <w:sz w:val="22"/>
          <w:szCs w:val="22"/>
        </w:rPr>
        <w:t xml:space="preserve">As an investor, I want to receive a clear error message explaining exactly why my transfer was rejected (expired KYC, locked period, max balance, etc.)</w:t>
      </w:r>
    </w:p>
    <w:p>
      <w:pPr>
        <w:spacing w:after="0" w:before="80"/>
      </w:pPr>
    </w:p>
    <w:p>
      <w:pPr>
        <w:pStyle w:val="Heading2"/>
        <w:spacing w:after="80" w:before="240"/>
      </w:pPr>
      <w:r>
        <w:rPr>
          <w:rFonts w:ascii="Arial" w:cs="Arial" w:eastAsia="Arial" w:hAnsi="Arial"/>
          <w:b/>
          <w:bCs/>
          <w:color w:val="2E75B6"/>
          <w:sz w:val="26"/>
          <w:szCs w:val="26"/>
        </w:rPr>
        <w:t xml:space="preserve">5.4 Compliance Agent</w:t>
      </w:r>
    </w:p>
    <w:p>
      <w:pPr>
        <w:pStyle w:val="ListParagraph"/>
        <w:numPr>
          <w:ilvl w:val="0"/>
          <w:numId w:val="2"/>
        </w:numPr>
        <w:spacing w:after="40" w:before="40"/>
      </w:pPr>
      <w:r>
        <w:rPr>
          <w:rFonts w:ascii="Arial" w:cs="Arial" w:eastAsia="Arial" w:hAnsi="Arial"/>
          <w:sz w:val="22"/>
          <w:szCs w:val="22"/>
        </w:rPr>
        <w:t xml:space="preserve">As a compliance agent, I want to freeze a wallet instantly when legal action requires it</w:t>
      </w:r>
    </w:p>
    <w:p>
      <w:pPr>
        <w:pStyle w:val="ListParagraph"/>
        <w:numPr>
          <w:ilvl w:val="0"/>
          <w:numId w:val="2"/>
        </w:numPr>
        <w:spacing w:after="40" w:before="40"/>
      </w:pPr>
      <w:r>
        <w:rPr>
          <w:rFonts w:ascii="Arial" w:cs="Arial" w:eastAsia="Arial" w:hAnsi="Arial"/>
          <w:sz w:val="22"/>
          <w:szCs w:val="22"/>
        </w:rPr>
        <w:t xml:space="preserve">As a compliance agent, I want to execute a forced transfer from a frozen account to a recovery wallet per a court order</w:t>
      </w:r>
    </w:p>
    <w:p>
      <w:pPr>
        <w:pStyle w:val="ListParagraph"/>
        <w:numPr>
          <w:ilvl w:val="0"/>
          <w:numId w:val="2"/>
        </w:numPr>
        <w:spacing w:after="40" w:before="40"/>
      </w:pPr>
      <w:r>
        <w:rPr>
          <w:rFonts w:ascii="Arial" w:cs="Arial" w:eastAsia="Arial" w:hAnsi="Arial"/>
          <w:sz w:val="22"/>
          <w:szCs w:val="22"/>
        </w:rPr>
        <w:t xml:space="preserve">As a compliance agent, I want to register new investors in the IRS and assign them their verified country code</w:t>
      </w:r>
    </w:p>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6.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4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Acceptance Criteria</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AC-01</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Token Transfer</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 transfer to a wallet with valid KYC+AML claims and all compliance modules passing executes successfully</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AC-02</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Transfer Rejection</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 transfer to a wallet without a valid KYC claim is rejected with error 6001 (WalletNotVerified) and emits TransferRejected</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AC-03</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Expired Claim</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 transfer where the receiver's KYC claim is past expires_at is rejected (NotVerified)</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AC-04</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Frozen Wallet</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 transfer from or to a frozen wallet is rejected with FrozenWallet error regardless of claim status</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AC-05</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Factory Deploy</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deploy_token_suite() creates all 8 state PDAs, transfers ownership to issuer, and emits TokenSuiteDeployed</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AC-06</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Max Investors</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Transfer to a new holder that would exceed MaxInvestorsModule.max_investors is rejected with MaxInvestorsReached</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AC-07</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Country Restrict</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Transfer to a wallet registered in a blocked country is rejected with CountryRestricted</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AC-08</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Lockup</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Transfer during active lockup period is rejected with LockupActive</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AC-09</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Issuer Deactivate</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Deactivating a TIR issuer immediately causes is_verified() to return false for investors who relied only on that issuer</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AC-10</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Claim Revocation</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Setting revoked=true on a ClaimAccount causes is_verified() to return false on next check</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AC-11</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Forced Transfer</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Agent executing forced_transfer() moves tokens from a frozen wallet to a verified receiver</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AC-12</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Token Recovery</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recovery() moves all tokens from a lost wallet to a new wallet that passes is_verified()</w:t>
            </w:r>
          </w:p>
        </w:tc>
      </w:tr>
      <w:tr>
        <w:tc>
          <w:tcPr>
            <w:tcW w:type="dxa" w:w="7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AC-13</w:t>
            </w:r>
          </w:p>
        </w:tc>
        <w:tc>
          <w:tcPr>
            <w:tcW w:type="dxa" w:w="220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Pause</w:t>
            </w:r>
          </w:p>
        </w:tc>
        <w:tc>
          <w:tcPr>
            <w:tcW w:type="dxa" w:w="6460"/>
            <w:tcBorders>
              <w:top w:val="single" w:color="B8CCE4" w:sz="1"/>
              <w:left w:val="single" w:color="B8CCE4" w:sz="1"/>
              <w:bottom w:val="single" w:color="B8CCE4" w:sz="1"/>
              <w:right w:val="single" w:color="B8CCE4" w:sz="1"/>
            </w:tcBorders>
            <w:shd w:fill="D6E4F7" w:val="clear"/>
            <w:tcMar>
              <w:top w:type="dxa" w:w="80"/>
              <w:left w:type="dxa" w:w="120"/>
              <w:bottom w:type="dxa" w:w="80"/>
              <w:right w:type="dxa" w:w="120"/>
            </w:tcMar>
          </w:tcPr>
          <w:p>
            <w:r>
              <w:rPr>
                <w:rFonts w:ascii="Arial" w:cs="Arial" w:eastAsia="Arial" w:hAnsi="Arial"/>
                <w:sz w:val="20"/>
                <w:szCs w:val="20"/>
              </w:rPr>
              <w:t xml:space="preserve">pause() blocks all transfers; unpause() restores them</w:t>
            </w:r>
          </w:p>
        </w:tc>
      </w:tr>
      <w:tr>
        <w:tc>
          <w:tcPr>
            <w:tcW w:type="dxa" w:w="7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AC-14</w:t>
            </w:r>
          </w:p>
        </w:tc>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Shared IRS</w:t>
            </w:r>
          </w:p>
        </w:tc>
        <w:tc>
          <w:tcPr>
            <w:tcW w:type="dxa" w:w="64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r>
              <w:rPr>
                <w:rFonts w:ascii="Arial" w:cs="Arial" w:eastAsia="Arial" w:hAnsi="Arial"/>
                <w:sz w:val="20"/>
                <w:szCs w:val="20"/>
              </w:rPr>
              <w:t xml:space="preserve">Two tokens sharing the same IRS both see a newly registered investor after register_identity() is called once</w:t>
            </w:r>
          </w:p>
        </w:tc>
      </w:tr>
    </w:tbl>
    <w:p>
      <w:r>
        <w:br w:type="page"/>
      </w:r>
    </w:p>
    <w:p>
      <w:pPr>
        <w:pStyle w:val="Heading1"/>
        <w:pBdr>
          <w:bottom w:val="single" w:color="2E75B6" w:sz="6" w:space="1"/>
        </w:pBdr>
        <w:spacing w:after="120" w:before="360"/>
      </w:pPr>
      <w:r>
        <w:rPr>
          <w:rFonts w:ascii="Arial" w:cs="Arial" w:eastAsia="Arial" w:hAnsi="Arial"/>
          <w:b/>
          <w:bCs/>
          <w:color w:val="1F3864"/>
          <w:sz w:val="32"/>
          <w:szCs w:val="32"/>
        </w:rPr>
        <w:t xml:space="preserve">7. Out of Scope / Future Roadmap</w:t>
      </w:r>
    </w:p>
    <w:p>
      <w:pPr>
        <w:pStyle w:val="ListParagraph"/>
        <w:numPr>
          <w:ilvl w:val="0"/>
          <w:numId w:val="2"/>
        </w:numPr>
        <w:spacing w:after="40" w:before="40"/>
      </w:pPr>
      <w:r>
        <w:rPr>
          <w:rFonts w:ascii="Arial" w:cs="Arial" w:eastAsia="Arial" w:hAnsi="Arial"/>
          <w:sz w:val="22"/>
          <w:szCs w:val="22"/>
        </w:rPr>
        <w:t xml:space="preserve">Multi-signature claim issuance (M-of-N trusted issuers per topic)</w:t>
      </w:r>
    </w:p>
    <w:p>
      <w:pPr>
        <w:pStyle w:val="ListParagraph"/>
        <w:numPr>
          <w:ilvl w:val="0"/>
          <w:numId w:val="2"/>
        </w:numPr>
        <w:spacing w:after="40" w:before="40"/>
      </w:pPr>
      <w:r>
        <w:rPr>
          <w:rFonts w:ascii="Arial" w:cs="Arial" w:eastAsia="Arial" w:hAnsi="Arial"/>
          <w:sz w:val="22"/>
          <w:szCs w:val="22"/>
        </w:rPr>
        <w:t xml:space="preserve">On-chain dispute resolution mechanism for rejected claims</w:t>
      </w:r>
    </w:p>
    <w:p>
      <w:pPr>
        <w:pStyle w:val="ListParagraph"/>
        <w:numPr>
          <w:ilvl w:val="0"/>
          <w:numId w:val="2"/>
        </w:numPr>
        <w:spacing w:after="40" w:before="40"/>
      </w:pPr>
      <w:r>
        <w:rPr>
          <w:rFonts w:ascii="Arial" w:cs="Arial" w:eastAsia="Arial" w:hAnsi="Arial"/>
          <w:sz w:val="22"/>
          <w:szCs w:val="22"/>
        </w:rPr>
        <w:t xml:space="preserve">Cross-chain bridge for FRACKS tokens to other networks</w:t>
      </w:r>
    </w:p>
    <w:p>
      <w:pPr>
        <w:pStyle w:val="ListParagraph"/>
        <w:numPr>
          <w:ilvl w:val="0"/>
          <w:numId w:val="2"/>
        </w:numPr>
        <w:spacing w:after="40" w:before="40"/>
      </w:pPr>
      <w:r>
        <w:rPr>
          <w:rFonts w:ascii="Arial" w:cs="Arial" w:eastAsia="Arial" w:hAnsi="Arial"/>
          <w:sz w:val="22"/>
          <w:szCs w:val="22"/>
        </w:rPr>
        <w:t xml:space="preserve">FRACKS Governance Token for protocol upgrades (DAO)</w:t>
      </w:r>
    </w:p>
    <w:p>
      <w:pPr>
        <w:pStyle w:val="ListParagraph"/>
        <w:numPr>
          <w:ilvl w:val="0"/>
          <w:numId w:val="2"/>
        </w:numPr>
        <w:spacing w:after="40" w:before="40"/>
      </w:pPr>
      <w:r>
        <w:rPr>
          <w:rFonts w:ascii="Arial" w:cs="Arial" w:eastAsia="Arial" w:hAnsi="Arial"/>
          <w:sz w:val="22"/>
          <w:szCs w:val="22"/>
        </w:rPr>
        <w:t xml:space="preserve">Zero-knowledge claim proofs (zkKYC) for privacy-preserving verification</w:t>
      </w:r>
    </w:p>
    <w:p>
      <w:pPr>
        <w:pStyle w:val="ListParagraph"/>
        <w:numPr>
          <w:ilvl w:val="0"/>
          <w:numId w:val="2"/>
        </w:numPr>
        <w:spacing w:after="40" w:before="40"/>
      </w:pPr>
      <w:r>
        <w:rPr>
          <w:rFonts w:ascii="Arial" w:cs="Arial" w:eastAsia="Arial" w:hAnsi="Arial"/>
          <w:sz w:val="22"/>
          <w:szCs w:val="22"/>
        </w:rPr>
        <w:t xml:space="preserve">Automated claim renewal workflow with issuer notification</w:t>
      </w:r>
    </w:p>
    <w:p>
      <w:pPr>
        <w:pStyle w:val="ListParagraph"/>
        <w:numPr>
          <w:ilvl w:val="0"/>
          <w:numId w:val="2"/>
        </w:numPr>
        <w:spacing w:after="40" w:before="40"/>
      </w:pPr>
      <w:r>
        <w:rPr>
          <w:rFonts w:ascii="Arial" w:cs="Arial" w:eastAsia="Arial" w:hAnsi="Arial"/>
          <w:sz w:val="22"/>
          <w:szCs w:val="22"/>
        </w:rPr>
        <w:t xml:space="preserve">FRACKS Explorer — a dedicated block explorer for FRACKS-specific analytics</w:t>
      </w:r>
    </w:p>
    <w:p>
      <w:pPr>
        <w:pStyle w:val="ListParagraph"/>
        <w:numPr>
          <w:ilvl w:val="0"/>
          <w:numId w:val="2"/>
        </w:numPr>
        <w:spacing w:after="40" w:before="40"/>
      </w:pPr>
      <w:r>
        <w:rPr>
          <w:rFonts w:ascii="Arial" w:cs="Arial" w:eastAsia="Arial" w:hAnsi="Arial"/>
          <w:sz w:val="22"/>
          <w:szCs w:val="22"/>
        </w:rPr>
        <w:t xml:space="preserve">REST API layer for compliance officer dashboards</w:t>
      </w:r>
    </w:p>
    <w:p>
      <w:pPr>
        <w:spacing w:after="0" w:before="200"/>
      </w:pPr>
    </w:p>
    <w:p>
      <w:pPr>
        <w:spacing w:after="0" w:before="400"/>
        <w:jc w:val="center"/>
      </w:pPr>
      <w:r>
        <w:rPr>
          <w:rFonts w:ascii="Arial" w:cs="Arial" w:eastAsia="Arial" w:hAnsi="Arial"/>
          <w:i/>
          <w:iCs/>
          <w:color w:val="888888"/>
          <w:sz w:val="20"/>
          <w:szCs w:val="20"/>
        </w:rPr>
        <w:t xml:space="preserve">End of FRACKS PRD v1.0  |  BeencoLabs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888888"/>
        <w:sz w:val="18"/>
        <w:szCs w:val="18"/>
      </w:rPr>
      <w:t xml:space="preserve">FRACKS Protocol  —  Product Requirements Document (PRD)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2026-05-05T17:04:23.465Z</dcterms:created>
  <dcterms:modified xsi:type="dcterms:W3CDTF">2026-05-05T17:04:23.465Z</dcterms:modified>
</cp:coreProperties>
</file>

<file path=docProps/custom.xml><?xml version="1.0" encoding="utf-8"?>
<Properties xmlns="http://schemas.openxmlformats.org/officeDocument/2006/custom-properties" xmlns:vt="http://schemas.openxmlformats.org/officeDocument/2006/docPropsVTypes"/>
</file>