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49935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309679F2" w14:textId="77777777"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14:paraId="17D0FDC7" w14:textId="77777777"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14:paraId="47A46BFF" w14:textId="77777777"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55"/>
        <w:gridCol w:w="6589"/>
      </w:tblGrid>
      <w:tr w:rsidR="007A6145" w:rsidRPr="007A6145" w14:paraId="4144B5F2" w14:textId="77777777" w:rsidTr="007A6145">
        <w:trPr>
          <w:jc w:val="center"/>
        </w:trPr>
        <w:tc>
          <w:tcPr>
            <w:tcW w:w="2055" w:type="dxa"/>
          </w:tcPr>
          <w:p w14:paraId="09CFF207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0984A899" w14:textId="35E00E5B" w:rsidR="007A6145" w:rsidRPr="007A6145" w:rsidRDefault="00911EA8" w:rsidP="007A6145">
            <w:pPr>
              <w:rPr>
                <w:rFonts w:ascii="Verdana" w:hAnsi="Verdana" w:cs="Tahoma"/>
                <w:sz w:val="18"/>
                <w:szCs w:val="18"/>
              </w:rPr>
            </w:pPr>
            <w:proofErr w:type="spellStart"/>
            <w:r w:rsidRPr="00046AF3">
              <w:rPr>
                <w:rFonts w:ascii="Verdana" w:hAnsi="Verdana" w:cs="Tahoma"/>
                <w:sz w:val="18"/>
                <w:szCs w:val="18"/>
              </w:rPr>
              <w:t>Valana</w:t>
            </w:r>
            <w:proofErr w:type="spellEnd"/>
            <w:r w:rsidRPr="00046AF3">
              <w:rPr>
                <w:rFonts w:ascii="Verdana" w:hAnsi="Verdana" w:cs="Tahoma"/>
                <w:sz w:val="18"/>
                <w:szCs w:val="18"/>
              </w:rPr>
              <w:t xml:space="preserve"> - Sociedade Agro Cinegética, LDA</w:t>
            </w:r>
          </w:p>
        </w:tc>
      </w:tr>
      <w:tr w:rsidR="007A6145" w:rsidRPr="007A6145" w14:paraId="033B23C6" w14:textId="77777777" w:rsidTr="007A6145">
        <w:trPr>
          <w:jc w:val="center"/>
        </w:trPr>
        <w:tc>
          <w:tcPr>
            <w:tcW w:w="2055" w:type="dxa"/>
          </w:tcPr>
          <w:p w14:paraId="0404DFE2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4A0D81D8" w14:textId="06CFD824" w:rsidR="007A6145" w:rsidRPr="007A6145" w:rsidRDefault="00911EA8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90B2B">
              <w:rPr>
                <w:rFonts w:ascii="Verdana" w:hAnsi="Verdana" w:cs="Tahoma"/>
                <w:sz w:val="18"/>
                <w:szCs w:val="18"/>
              </w:rPr>
              <w:t>2277466</w:t>
            </w:r>
          </w:p>
        </w:tc>
      </w:tr>
      <w:tr w:rsidR="007A6145" w:rsidRPr="007A6145" w14:paraId="4F9FEC48" w14:textId="77777777" w:rsidTr="007A6145">
        <w:trPr>
          <w:jc w:val="center"/>
        </w:trPr>
        <w:tc>
          <w:tcPr>
            <w:tcW w:w="2055" w:type="dxa"/>
          </w:tcPr>
          <w:p w14:paraId="0ED8106A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11FA6FCE" w14:textId="2EDC9178" w:rsidR="007A6145" w:rsidRPr="007A6145" w:rsidRDefault="00407079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407079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14:paraId="453853B5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1CF02085" w14:textId="77777777" w:rsidR="00F06FBC" w:rsidRPr="00BF4F7D" w:rsidRDefault="0080650D" w:rsidP="00B60FDC">
      <w:pPr>
        <w:pStyle w:val="Ttulo"/>
        <w:spacing w:line="360" w:lineRule="auto"/>
      </w:pPr>
      <w:r>
        <w:t>Caracterização da</w:t>
      </w:r>
      <w:r w:rsidR="00F06FBC" w:rsidRPr="00BF4F7D">
        <w:t>- Evolução da Exploração</w:t>
      </w:r>
    </w:p>
    <w:p w14:paraId="75D052A3" w14:textId="77777777" w:rsidR="00AD2587" w:rsidRDefault="00AD2587" w:rsidP="00B60FDC">
      <w:pPr>
        <w:spacing w:line="360" w:lineRule="auto"/>
        <w:rPr>
          <w:rFonts w:ascii="Verdana" w:hAnsi="Verdana"/>
          <w:sz w:val="18"/>
          <w:szCs w:val="18"/>
        </w:rPr>
      </w:pPr>
    </w:p>
    <w:p w14:paraId="6C68E440" w14:textId="2732AD59" w:rsidR="00CF6F25" w:rsidRDefault="00CF6F25" w:rsidP="00B60FDC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O promotor deste investimento é a</w:t>
      </w:r>
      <w:r w:rsidRPr="00046AF3">
        <w:rPr>
          <w:rFonts w:ascii="Verdana" w:hAnsi="Verdana" w:cs="Tahoma"/>
          <w:sz w:val="18"/>
          <w:szCs w:val="18"/>
        </w:rPr>
        <w:t xml:space="preserve"> </w:t>
      </w:r>
      <w:proofErr w:type="spellStart"/>
      <w:r w:rsidRPr="00046AF3">
        <w:rPr>
          <w:rFonts w:ascii="Verdana" w:hAnsi="Verdana" w:cs="Tahoma"/>
          <w:sz w:val="18"/>
          <w:szCs w:val="18"/>
        </w:rPr>
        <w:t>Valana</w:t>
      </w:r>
      <w:proofErr w:type="spellEnd"/>
      <w:r w:rsidRPr="00046AF3">
        <w:rPr>
          <w:rFonts w:ascii="Verdana" w:hAnsi="Verdana" w:cs="Tahoma"/>
          <w:sz w:val="18"/>
          <w:szCs w:val="18"/>
        </w:rPr>
        <w:t xml:space="preserve"> - Sociedade Agro Cinegética, LDA </w:t>
      </w:r>
      <w:r w:rsidR="00AA4E20">
        <w:rPr>
          <w:rFonts w:ascii="Verdana" w:hAnsi="Verdana" w:cs="Tahoma"/>
          <w:sz w:val="18"/>
          <w:szCs w:val="18"/>
        </w:rPr>
        <w:t xml:space="preserve">que </w:t>
      </w:r>
      <w:r w:rsidRPr="00046AF3">
        <w:rPr>
          <w:rFonts w:ascii="Verdana" w:hAnsi="Verdana" w:cs="Tahoma"/>
          <w:sz w:val="18"/>
          <w:szCs w:val="18"/>
        </w:rPr>
        <w:t>é uma empresa constituída em 199</w:t>
      </w:r>
      <w:r>
        <w:rPr>
          <w:rFonts w:ascii="Verdana" w:hAnsi="Verdana" w:cs="Tahoma"/>
          <w:sz w:val="18"/>
          <w:szCs w:val="18"/>
        </w:rPr>
        <w:t>1</w:t>
      </w:r>
      <w:r w:rsidRPr="00046AF3">
        <w:rPr>
          <w:rFonts w:ascii="Verdana" w:hAnsi="Verdana" w:cs="Tahoma"/>
          <w:sz w:val="18"/>
          <w:szCs w:val="18"/>
        </w:rPr>
        <w:t xml:space="preserve"> com CAE </w:t>
      </w:r>
      <w:r w:rsidRPr="003F5766">
        <w:rPr>
          <w:rFonts w:ascii="Verdana" w:hAnsi="Verdana" w:cs="Tahoma"/>
          <w:sz w:val="18"/>
          <w:szCs w:val="18"/>
        </w:rPr>
        <w:t>01701</w:t>
      </w:r>
      <w:r>
        <w:rPr>
          <w:rFonts w:ascii="Verdana" w:hAnsi="Verdana" w:cs="Tahoma"/>
          <w:sz w:val="18"/>
          <w:szCs w:val="18"/>
        </w:rPr>
        <w:t xml:space="preserve"> que se encontra sediada na freguesia Couço, no Concelho de Coruche, Distrito de Santarém. </w:t>
      </w:r>
    </w:p>
    <w:p w14:paraId="0F094997" w14:textId="77777777" w:rsidR="00CF6F25" w:rsidRDefault="00CF6F25" w:rsidP="00B60FDC">
      <w:pPr>
        <w:spacing w:line="360" w:lineRule="auto"/>
        <w:rPr>
          <w:rFonts w:ascii="Helvetica" w:hAnsi="Helvetica" w:cs="Helvetica"/>
          <w:color w:val="000000"/>
          <w:szCs w:val="20"/>
        </w:rPr>
      </w:pPr>
      <w:r>
        <w:rPr>
          <w:rFonts w:ascii="Verdana" w:hAnsi="Verdana" w:cs="Tahoma"/>
          <w:sz w:val="18"/>
          <w:szCs w:val="18"/>
        </w:rPr>
        <w:t xml:space="preserve">A empresa tem como principal atividade a caça e repovoamento cinegético, produz também bovinos de carne que são vendidos para engorda, culturas frutícolas, cortiça, </w:t>
      </w:r>
      <w:r>
        <w:rPr>
          <w:rFonts w:ascii="Helvetica" w:hAnsi="Helvetica" w:cs="Helvetica"/>
          <w:color w:val="000000"/>
          <w:szCs w:val="20"/>
        </w:rPr>
        <w:t>sorgo, milho, trigo, aveia, olival e vinha. Sendo que os cereais têm como fim a alimentação dos bovinos e o olival e a vinha são para autoconsumo.</w:t>
      </w:r>
    </w:p>
    <w:p w14:paraId="7258CD57" w14:textId="77777777" w:rsidR="00CF6F25" w:rsidRDefault="00CF6F25" w:rsidP="00B60FDC">
      <w:pPr>
        <w:autoSpaceDE w:val="0"/>
        <w:autoSpaceDN w:val="0"/>
        <w:adjustRightInd w:val="0"/>
        <w:spacing w:before="0" w:after="0" w:line="360" w:lineRule="auto"/>
        <w:jc w:val="left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</w:rPr>
        <w:t xml:space="preserve">Atualmente, a empresa conta com um sócio, Vítor António de Almeia Fonseca Bem-Haja, e tem um capital social de </w:t>
      </w:r>
      <w:r w:rsidRPr="00A37474">
        <w:rPr>
          <w:rFonts w:ascii="Verdana" w:hAnsi="Verdana" w:cs="Tahoma"/>
          <w:sz w:val="18"/>
          <w:szCs w:val="18"/>
        </w:rPr>
        <w:t>100</w:t>
      </w:r>
      <w:r>
        <w:rPr>
          <w:rFonts w:ascii="Verdana" w:hAnsi="Verdana" w:cs="Tahoma"/>
          <w:sz w:val="18"/>
          <w:szCs w:val="18"/>
        </w:rPr>
        <w:t>.</w:t>
      </w:r>
      <w:r w:rsidRPr="00A37474">
        <w:rPr>
          <w:rFonts w:ascii="Verdana" w:hAnsi="Verdana" w:cs="Tahoma"/>
          <w:sz w:val="18"/>
          <w:szCs w:val="18"/>
        </w:rPr>
        <w:t>000,00</w:t>
      </w:r>
      <w:r>
        <w:rPr>
          <w:rFonts w:ascii="Verdana" w:hAnsi="Verdana" w:cs="Tahoma"/>
          <w:sz w:val="18"/>
          <w:szCs w:val="18"/>
        </w:rPr>
        <w:t xml:space="preserve"> €.</w:t>
      </w:r>
    </w:p>
    <w:p w14:paraId="53CA783E" w14:textId="77777777" w:rsidR="00CF6F25" w:rsidRDefault="00CF6F25" w:rsidP="00B60FDC">
      <w:pPr>
        <w:autoSpaceDE w:val="0"/>
        <w:autoSpaceDN w:val="0"/>
        <w:adjustRightInd w:val="0"/>
        <w:spacing w:before="0" w:after="0" w:line="360" w:lineRule="auto"/>
        <w:jc w:val="left"/>
        <w:rPr>
          <w:rFonts w:ascii="Verdana" w:hAnsi="Verdana" w:cs="Tahoma"/>
          <w:sz w:val="18"/>
          <w:szCs w:val="18"/>
        </w:rPr>
      </w:pPr>
    </w:p>
    <w:p w14:paraId="1973C342" w14:textId="77777777" w:rsidR="00CF6F25" w:rsidRPr="00A37474" w:rsidRDefault="00CF6F25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Para o exercício da sua atividade, a empresa detém uma exploração com 510 </w:t>
      </w:r>
      <w:proofErr w:type="spellStart"/>
      <w:r>
        <w:rPr>
          <w:rFonts w:ascii="Verdana" w:hAnsi="Verdana" w:cs="Tahoma"/>
          <w:sz w:val="18"/>
          <w:szCs w:val="18"/>
        </w:rPr>
        <w:t>ha</w:t>
      </w:r>
      <w:proofErr w:type="spellEnd"/>
      <w:r>
        <w:rPr>
          <w:rFonts w:ascii="Verdana" w:hAnsi="Verdana" w:cs="Tahoma"/>
          <w:sz w:val="18"/>
          <w:szCs w:val="18"/>
        </w:rPr>
        <w:t>, aproximadamente, em que 6ha são em regime de regadio e 385ha são parte agrícola, aproximadamente.</w:t>
      </w:r>
    </w:p>
    <w:p w14:paraId="09168190" w14:textId="77777777" w:rsidR="00CF6F25" w:rsidRDefault="00CF6F25" w:rsidP="00B60FDC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Atualmente, a herdade está classificada como </w:t>
      </w:r>
      <w:r w:rsidRPr="00046AF3">
        <w:rPr>
          <w:rFonts w:ascii="Verdana" w:hAnsi="Verdana" w:cs="Tahoma"/>
          <w:sz w:val="18"/>
          <w:szCs w:val="18"/>
        </w:rPr>
        <w:t>Pastagem Permanente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Sobreiros destinados à produção de cortiça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Vias</w:t>
      </w:r>
      <w:r>
        <w:rPr>
          <w:rFonts w:ascii="Verdana" w:hAnsi="Verdana" w:cs="Tahoma"/>
          <w:sz w:val="18"/>
          <w:szCs w:val="18"/>
        </w:rPr>
        <w:t xml:space="preserve">, Área social, </w:t>
      </w:r>
      <w:r w:rsidRPr="00046AF3">
        <w:rPr>
          <w:rFonts w:ascii="Verdana" w:hAnsi="Verdana" w:cs="Tahoma"/>
          <w:sz w:val="18"/>
          <w:szCs w:val="18"/>
        </w:rPr>
        <w:t>Culturas frutícolas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Espaço florestal arborizado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Massas de água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Culturas Temporárias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Pastagem Permanente Arbustiva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Olival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Outras Superfícies</w:t>
      </w:r>
      <w:r>
        <w:rPr>
          <w:rFonts w:ascii="Verdana" w:hAnsi="Verdana" w:cs="Tahoma"/>
          <w:sz w:val="18"/>
          <w:szCs w:val="18"/>
        </w:rPr>
        <w:t xml:space="preserve">, Zonas de proteção/conservação, Zonas húmidas, </w:t>
      </w:r>
      <w:r w:rsidRPr="00097ABF">
        <w:rPr>
          <w:rFonts w:ascii="Verdana" w:hAnsi="Verdana" w:cs="Tahoma"/>
          <w:sz w:val="18"/>
          <w:szCs w:val="18"/>
        </w:rPr>
        <w:t xml:space="preserve">Pastagem Permanente em Sob Coberto Misto, Vinha, </w:t>
      </w:r>
      <w:r>
        <w:rPr>
          <w:rFonts w:ascii="Verdana" w:hAnsi="Verdana" w:cs="Tahoma"/>
          <w:sz w:val="18"/>
          <w:szCs w:val="18"/>
        </w:rPr>
        <w:t>C</w:t>
      </w:r>
      <w:r w:rsidRPr="00097ABF">
        <w:rPr>
          <w:rFonts w:ascii="Verdana" w:hAnsi="Verdana" w:cs="Tahoma"/>
          <w:sz w:val="18"/>
          <w:szCs w:val="18"/>
        </w:rPr>
        <w:t xml:space="preserve">abeceiras de culturas permanentes, </w:t>
      </w:r>
      <w:r>
        <w:rPr>
          <w:rFonts w:ascii="Verdana" w:hAnsi="Verdana" w:cs="Tahoma"/>
          <w:sz w:val="18"/>
          <w:szCs w:val="18"/>
        </w:rPr>
        <w:t>M</w:t>
      </w:r>
      <w:r w:rsidRPr="00097ABF">
        <w:rPr>
          <w:rFonts w:ascii="Verdana" w:hAnsi="Verdana" w:cs="Tahoma"/>
          <w:sz w:val="18"/>
          <w:szCs w:val="18"/>
        </w:rPr>
        <w:t>isto de culturas permanentes</w:t>
      </w:r>
      <w:r>
        <w:rPr>
          <w:rFonts w:ascii="Verdana" w:hAnsi="Verdana" w:cs="Tahoma"/>
          <w:sz w:val="18"/>
          <w:szCs w:val="18"/>
        </w:rPr>
        <w:t xml:space="preserve"> e O</w:t>
      </w:r>
      <w:r w:rsidRPr="00097ABF">
        <w:rPr>
          <w:rFonts w:ascii="Verdana" w:hAnsi="Verdana" w:cs="Tahoma"/>
          <w:sz w:val="18"/>
          <w:szCs w:val="18"/>
        </w:rPr>
        <w:t>liva</w:t>
      </w:r>
      <w:r>
        <w:rPr>
          <w:rFonts w:ascii="Verdana" w:hAnsi="Verdana" w:cs="Tahoma"/>
          <w:sz w:val="18"/>
          <w:szCs w:val="18"/>
        </w:rPr>
        <w:t>l.</w:t>
      </w:r>
    </w:p>
    <w:p w14:paraId="3F7528D6" w14:textId="40E64008" w:rsidR="00CF6F25" w:rsidRDefault="00CF6F25" w:rsidP="00B60FDC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Quanto a infraestruturas, à data existe uma barragem e edifícios de apoio.</w:t>
      </w:r>
    </w:p>
    <w:p w14:paraId="7A504E5D" w14:textId="77777777" w:rsidR="00BF4F7D" w:rsidRPr="00BF4F7D" w:rsidRDefault="00BF4F7D" w:rsidP="00B60FDC">
      <w:pPr>
        <w:spacing w:line="360" w:lineRule="auto"/>
        <w:rPr>
          <w:rFonts w:ascii="Verdana" w:hAnsi="Verdana" w:cs="Tahoma"/>
          <w:b/>
          <w:sz w:val="24"/>
        </w:rPr>
      </w:pPr>
    </w:p>
    <w:p w14:paraId="75DB3B6B" w14:textId="77777777" w:rsidR="00F23307" w:rsidRPr="00BF4F7D" w:rsidRDefault="00F23307" w:rsidP="00B60FDC">
      <w:pPr>
        <w:pStyle w:val="Ttulo"/>
        <w:spacing w:line="360" w:lineRule="auto"/>
      </w:pPr>
      <w:r w:rsidRPr="00BF4F7D">
        <w:t>Caracte</w:t>
      </w:r>
      <w:r w:rsidR="00C77156">
        <w:t xml:space="preserve">rização da Operação </w:t>
      </w:r>
    </w:p>
    <w:p w14:paraId="2DAAB6C1" w14:textId="2E9DF2C1" w:rsidR="00A72699" w:rsidRDefault="00A72699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Tahoma"/>
          <w:sz w:val="18"/>
        </w:rPr>
      </w:pPr>
    </w:p>
    <w:p w14:paraId="6C1BA56B" w14:textId="4ADF15A1" w:rsidR="00407079" w:rsidRPr="00B60FDC" w:rsidRDefault="00407079" w:rsidP="00B60FDC">
      <w:pPr>
        <w:spacing w:line="360" w:lineRule="auto"/>
        <w:rPr>
          <w:rFonts w:ascii="Verdana" w:hAnsi="Verdana" w:cs="Tahoma"/>
          <w:sz w:val="18"/>
          <w:szCs w:val="18"/>
        </w:rPr>
      </w:pPr>
      <w:r w:rsidRPr="00B60FDC">
        <w:rPr>
          <w:rFonts w:ascii="Verdana" w:hAnsi="Verdana" w:cs="Tahoma"/>
          <w:sz w:val="18"/>
          <w:szCs w:val="18"/>
        </w:rPr>
        <w:t>A aquisição e instalação de painéis fotovoltaicos tem como principal objetivo diminuir a dependência da rede elétrica e ajustar a exploração agrícola a um sistema mais sustentável, contínuo e amigo do ambiente, de forma a apostar numa fonte de energia renovável, em detrimento da utilização de combustíveis fosseis. Consequentemente, a longo prazo contribuirá para a descarbonização do setor.</w:t>
      </w:r>
    </w:p>
    <w:p w14:paraId="2CD11B6B" w14:textId="77777777" w:rsidR="00B60FDC" w:rsidRPr="00B60FDC" w:rsidRDefault="00B60FDC" w:rsidP="00B60FDC">
      <w:pPr>
        <w:spacing w:line="360" w:lineRule="auto"/>
        <w:rPr>
          <w:rFonts w:ascii="Verdana" w:hAnsi="Verdana" w:cs="Tahoma"/>
          <w:sz w:val="18"/>
          <w:szCs w:val="18"/>
        </w:rPr>
      </w:pPr>
      <w:r w:rsidRPr="00B60FDC">
        <w:rPr>
          <w:rFonts w:ascii="Verdana" w:hAnsi="Verdana" w:cs="Tahoma"/>
          <w:sz w:val="18"/>
          <w:szCs w:val="18"/>
        </w:rPr>
        <w:lastRenderedPageBreak/>
        <w:t>Para o estudo foram tidos em conta os seguintes fatores específicos do local de consumo:</w:t>
      </w:r>
    </w:p>
    <w:p w14:paraId="6D15A904" w14:textId="77777777" w:rsidR="00B60FDC" w:rsidRPr="00B60FDC" w:rsidRDefault="00B60FDC" w:rsidP="00B60FDC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Tahoma"/>
          <w:sz w:val="18"/>
          <w:szCs w:val="18"/>
        </w:rPr>
      </w:pPr>
      <w:r w:rsidRPr="00B60FDC">
        <w:rPr>
          <w:rFonts w:ascii="Verdana" w:hAnsi="Verdana" w:cs="Tahoma"/>
          <w:sz w:val="18"/>
          <w:szCs w:val="18"/>
        </w:rPr>
        <w:t>Faturas de energia elétrica respeitantes ao último ano de funcionamento da exploração;</w:t>
      </w:r>
    </w:p>
    <w:p w14:paraId="7301F3CA" w14:textId="77777777" w:rsidR="00B60FDC" w:rsidRPr="00B60FDC" w:rsidRDefault="00B60FDC" w:rsidP="00B60FDC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Tahoma"/>
          <w:sz w:val="18"/>
          <w:szCs w:val="18"/>
        </w:rPr>
      </w:pPr>
      <w:r w:rsidRPr="00B60FDC">
        <w:rPr>
          <w:rFonts w:ascii="Verdana" w:hAnsi="Verdana" w:cs="Tahoma"/>
          <w:sz w:val="18"/>
          <w:szCs w:val="18"/>
        </w:rPr>
        <w:t>Análise de consumos de energia no período diurno com potencial de absorção da energia fotovoltaica gerada;</w:t>
      </w:r>
    </w:p>
    <w:p w14:paraId="2CF2779B" w14:textId="77777777" w:rsidR="00B60FDC" w:rsidRPr="00B60FDC" w:rsidRDefault="00B60FDC" w:rsidP="00B60FDC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Tahoma"/>
          <w:sz w:val="18"/>
          <w:szCs w:val="18"/>
        </w:rPr>
      </w:pPr>
      <w:r w:rsidRPr="00B60FDC">
        <w:rPr>
          <w:rFonts w:ascii="Verdana" w:hAnsi="Verdana" w:cs="Tahoma"/>
          <w:sz w:val="18"/>
          <w:szCs w:val="18"/>
        </w:rPr>
        <w:t>Análise do estado atual da exploração e perspetivas de aumento ou diminuição da atividade a curto-prazo;</w:t>
      </w:r>
    </w:p>
    <w:p w14:paraId="6CE34C73" w14:textId="77777777" w:rsidR="00B60FDC" w:rsidRPr="00B60FDC" w:rsidRDefault="00B60FDC" w:rsidP="00B60FDC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Tahoma"/>
          <w:sz w:val="18"/>
          <w:szCs w:val="18"/>
        </w:rPr>
      </w:pPr>
      <w:r w:rsidRPr="00B60FDC">
        <w:rPr>
          <w:rFonts w:ascii="Verdana" w:hAnsi="Verdana" w:cs="Tahoma"/>
          <w:sz w:val="18"/>
          <w:szCs w:val="18"/>
        </w:rPr>
        <w:t>Características gerais do abastecimento pelo CPE;</w:t>
      </w:r>
    </w:p>
    <w:p w14:paraId="66F8BB21" w14:textId="77777777" w:rsidR="00B60FDC" w:rsidRDefault="00B60FDC" w:rsidP="00B60FDC">
      <w:pPr>
        <w:pStyle w:val="Corpodetexto"/>
        <w:spacing w:before="7" w:line="360" w:lineRule="auto"/>
        <w:ind w:left="0"/>
        <w:rPr>
          <w:sz w:val="25"/>
        </w:rPr>
      </w:pPr>
    </w:p>
    <w:p w14:paraId="6F2FDBCB" w14:textId="77777777" w:rsidR="00B60FDC" w:rsidRPr="00B60FDC" w:rsidRDefault="00B60FDC" w:rsidP="00B60FDC">
      <w:pPr>
        <w:pStyle w:val="Ttulo1"/>
        <w:spacing w:line="360" w:lineRule="auto"/>
        <w:rPr>
          <w:sz w:val="28"/>
          <w:szCs w:val="28"/>
        </w:rPr>
      </w:pPr>
      <w:r w:rsidRPr="00B60FDC">
        <w:rPr>
          <w:sz w:val="28"/>
          <w:szCs w:val="28"/>
          <w:u w:val="thick"/>
        </w:rPr>
        <w:t>Conclusões</w:t>
      </w:r>
      <w:r w:rsidRPr="00B60FDC">
        <w:rPr>
          <w:spacing w:val="-2"/>
          <w:sz w:val="28"/>
          <w:szCs w:val="28"/>
          <w:u w:val="thick"/>
        </w:rPr>
        <w:t xml:space="preserve"> </w:t>
      </w:r>
      <w:r w:rsidRPr="00B60FDC">
        <w:rPr>
          <w:sz w:val="28"/>
          <w:szCs w:val="28"/>
          <w:u w:val="thick"/>
        </w:rPr>
        <w:t>do estudo elaborado sobre</w:t>
      </w:r>
      <w:r w:rsidRPr="00B60FDC">
        <w:rPr>
          <w:spacing w:val="-6"/>
          <w:sz w:val="28"/>
          <w:szCs w:val="28"/>
          <w:u w:val="thick"/>
        </w:rPr>
        <w:t xml:space="preserve"> </w:t>
      </w:r>
      <w:r w:rsidRPr="00B60FDC">
        <w:rPr>
          <w:sz w:val="28"/>
          <w:szCs w:val="28"/>
          <w:u w:val="thick"/>
        </w:rPr>
        <w:t>o</w:t>
      </w:r>
      <w:r w:rsidRPr="00B60FDC">
        <w:rPr>
          <w:spacing w:val="-5"/>
          <w:sz w:val="28"/>
          <w:szCs w:val="28"/>
          <w:u w:val="thick"/>
        </w:rPr>
        <w:t xml:space="preserve"> </w:t>
      </w:r>
      <w:r w:rsidRPr="00B60FDC">
        <w:rPr>
          <w:sz w:val="28"/>
          <w:szCs w:val="28"/>
          <w:u w:val="thick"/>
        </w:rPr>
        <w:t>consumo:</w:t>
      </w:r>
    </w:p>
    <w:p w14:paraId="1A0FEFC9" w14:textId="77777777" w:rsidR="00B60FDC" w:rsidRDefault="00B60FDC" w:rsidP="00B60FDC">
      <w:pPr>
        <w:pStyle w:val="Corpodetexto"/>
        <w:spacing w:before="5" w:line="360" w:lineRule="auto"/>
        <w:ind w:left="0"/>
        <w:rPr>
          <w:rFonts w:ascii="Arial"/>
          <w:b/>
          <w:sz w:val="17"/>
        </w:rPr>
      </w:pPr>
    </w:p>
    <w:p w14:paraId="706EC15E" w14:textId="77777777" w:rsidR="00B60FDC" w:rsidRPr="00B60FDC" w:rsidRDefault="00B60FDC" w:rsidP="00B60FDC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B60FDC">
        <w:rPr>
          <w:rFonts w:ascii="Verdana" w:hAnsi="Verdana" w:cs="Tahoma"/>
          <w:sz w:val="18"/>
          <w:szCs w:val="18"/>
        </w:rPr>
        <w:t xml:space="preserve">A VALANA-SOCIEDADE AGRO-CINEGÉTICA, LDA. tem atualmente uma ligação à rede </w:t>
      </w:r>
      <w:proofErr w:type="spellStart"/>
      <w:r w:rsidRPr="00B60FDC">
        <w:rPr>
          <w:rFonts w:ascii="Verdana" w:hAnsi="Verdana" w:cs="Tahoma"/>
          <w:sz w:val="18"/>
          <w:szCs w:val="18"/>
        </w:rPr>
        <w:t>eléctrica</w:t>
      </w:r>
      <w:proofErr w:type="spellEnd"/>
      <w:r w:rsidRPr="00B60FDC">
        <w:rPr>
          <w:rFonts w:ascii="Verdana" w:hAnsi="Verdana" w:cs="Tahoma"/>
          <w:sz w:val="18"/>
          <w:szCs w:val="18"/>
        </w:rPr>
        <w:t xml:space="preserve"> com uma potência contratada de </w:t>
      </w:r>
      <w:r w:rsidRPr="00B60FDC">
        <w:rPr>
          <w:rFonts w:ascii="Verdana" w:hAnsi="Verdana" w:cs="Tahoma"/>
          <w:b/>
          <w:bCs/>
          <w:sz w:val="18"/>
          <w:szCs w:val="18"/>
        </w:rPr>
        <w:t>20,7 kVA</w:t>
      </w:r>
      <w:r w:rsidRPr="00B60FDC">
        <w:rPr>
          <w:rFonts w:ascii="Verdana" w:hAnsi="Verdana" w:cs="Tahoma"/>
          <w:sz w:val="18"/>
          <w:szCs w:val="18"/>
        </w:rPr>
        <w:t xml:space="preserve">, o seu consumo de energia anual é </w:t>
      </w:r>
      <w:r w:rsidRPr="00B60FDC">
        <w:rPr>
          <w:rFonts w:ascii="Verdana" w:hAnsi="Verdana" w:cs="Tahoma"/>
          <w:b/>
          <w:bCs/>
          <w:sz w:val="18"/>
          <w:szCs w:val="18"/>
        </w:rPr>
        <w:t>5.089,00 kWh/ano.</w:t>
      </w:r>
      <w:r w:rsidRPr="00B60FDC">
        <w:rPr>
          <w:rFonts w:ascii="Verdana" w:hAnsi="Verdana" w:cs="Tahoma"/>
          <w:sz w:val="18"/>
          <w:szCs w:val="18"/>
        </w:rPr>
        <w:t xml:space="preserve"> O consumo energético da exploração mantém-se muito semelhante ao longo do ano, o que se percebe pela atividade desenvolvida na exploração. O nosso foco para a instalação fotovoltaica foram os meses com maior produção solar, de forma a evitar excedentes de energia injetada na rede nos meses de Verão, em comparação à produção de energia fotovoltaica em meses de Inverno. Analisando o consumo anual entre os meses de </w:t>
      </w:r>
      <w:proofErr w:type="gramStart"/>
      <w:r w:rsidRPr="00B60FDC">
        <w:rPr>
          <w:rFonts w:ascii="Verdana" w:hAnsi="Verdana" w:cs="Tahoma"/>
          <w:sz w:val="18"/>
          <w:szCs w:val="18"/>
        </w:rPr>
        <w:t>Maio</w:t>
      </w:r>
      <w:proofErr w:type="gramEnd"/>
      <w:r w:rsidRPr="00B60FDC">
        <w:rPr>
          <w:rFonts w:ascii="Verdana" w:hAnsi="Verdana" w:cs="Tahoma"/>
          <w:sz w:val="18"/>
          <w:szCs w:val="18"/>
        </w:rPr>
        <w:t xml:space="preserve"> de 2021 até Abril 2022 temos um consumo médio diário entre os </w:t>
      </w:r>
      <w:r w:rsidRPr="00B60FDC">
        <w:rPr>
          <w:rFonts w:ascii="Verdana" w:hAnsi="Verdana" w:cs="Tahoma"/>
          <w:b/>
          <w:bCs/>
          <w:sz w:val="18"/>
          <w:szCs w:val="18"/>
        </w:rPr>
        <w:t>10 kWh/dia e os 17 kWh/dia</w:t>
      </w:r>
      <w:r w:rsidRPr="00B60FDC">
        <w:rPr>
          <w:rFonts w:ascii="Verdana" w:hAnsi="Verdana" w:cs="Tahoma"/>
          <w:sz w:val="18"/>
          <w:szCs w:val="18"/>
        </w:rPr>
        <w:t xml:space="preserve">, sendo que deste consumo o correspondente ao período de otimização da absorção da energia gerada pelo sistema solar fotovoltaico é entre </w:t>
      </w:r>
      <w:r w:rsidRPr="00B60FDC">
        <w:rPr>
          <w:rFonts w:ascii="Verdana" w:hAnsi="Verdana" w:cs="Tahoma"/>
          <w:b/>
          <w:bCs/>
          <w:sz w:val="18"/>
          <w:szCs w:val="18"/>
        </w:rPr>
        <w:t>3 kWh/dia e 4 kWh/dia.</w:t>
      </w:r>
    </w:p>
    <w:p w14:paraId="63FD1AB3" w14:textId="77777777" w:rsidR="00B60FDC" w:rsidRPr="00B60FDC" w:rsidRDefault="00B60FDC" w:rsidP="00B60FDC">
      <w:pPr>
        <w:pStyle w:val="Ttulo1"/>
        <w:spacing w:line="360" w:lineRule="auto"/>
        <w:rPr>
          <w:sz w:val="28"/>
          <w:szCs w:val="28"/>
          <w:u w:val="thick"/>
        </w:rPr>
      </w:pPr>
      <w:r w:rsidRPr="00B60FDC">
        <w:rPr>
          <w:sz w:val="28"/>
          <w:szCs w:val="28"/>
          <w:u w:val="thick"/>
        </w:rPr>
        <w:t>Na análise feita ao detalhe da operação diária da exploração, concluímos o seguinte:</w:t>
      </w:r>
    </w:p>
    <w:p w14:paraId="7FF62010" w14:textId="77777777" w:rsidR="00B60FDC" w:rsidRDefault="00B60FDC" w:rsidP="00B60FDC">
      <w:pPr>
        <w:spacing w:line="360" w:lineRule="auto"/>
        <w:sectPr w:rsidR="00B60FDC" w:rsidSect="00B60FDC">
          <w:pgSz w:w="11900" w:h="16840"/>
          <w:pgMar w:top="1340" w:right="1580" w:bottom="280" w:left="1580" w:header="720" w:footer="720" w:gutter="0"/>
          <w:cols w:space="720"/>
        </w:sectPr>
      </w:pPr>
    </w:p>
    <w:p w14:paraId="2038FA41" w14:textId="77777777" w:rsidR="00B60FDC" w:rsidRDefault="00B60FDC" w:rsidP="00F141A3">
      <w:pPr>
        <w:pStyle w:val="Corpodetexto"/>
        <w:spacing w:before="162" w:line="360" w:lineRule="auto"/>
        <w:ind w:left="0" w:right="115" w:firstLine="705"/>
        <w:jc w:val="both"/>
      </w:pP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lastRenderedPageBreak/>
        <w:t xml:space="preserve">Neste caso apenas nos focamos nos consumos das bombas de água que alimentam os dois pivots de rega, sendo que cada pivot está associado a duas bombas de água (No total 4 bombas de água). A potência de cada bomba anteriormente apontada é de aproximadamente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 xml:space="preserve">1 </w:t>
      </w:r>
      <w:proofErr w:type="spellStart"/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Hp</w:t>
      </w:r>
      <w:proofErr w:type="spellEnd"/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que se encontra no local tem um consumo de energia apurado de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0,6 kWh.</w:t>
      </w: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O consumo médio diário previsto por cada bomba de água será de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2,7-2,9kWh/dia.</w:t>
      </w:r>
    </w:p>
    <w:p w14:paraId="44E54D94" w14:textId="77777777" w:rsidR="00B60FDC" w:rsidRPr="00B60FDC" w:rsidRDefault="00B60FDC" w:rsidP="00B60FDC">
      <w:pPr>
        <w:pStyle w:val="Ttulo1"/>
        <w:spacing w:line="360" w:lineRule="auto"/>
        <w:rPr>
          <w:sz w:val="28"/>
          <w:szCs w:val="28"/>
          <w:u w:val="thick"/>
        </w:rPr>
      </w:pPr>
      <w:r w:rsidRPr="00B60FDC">
        <w:rPr>
          <w:sz w:val="28"/>
          <w:szCs w:val="28"/>
          <w:u w:val="thick"/>
        </w:rPr>
        <w:t>Conclusões do estudo elaborado sobre as necessidades de produção de energia:</w:t>
      </w:r>
    </w:p>
    <w:p w14:paraId="2BDE08EC" w14:textId="77777777" w:rsidR="00B60FDC" w:rsidRPr="00B60FDC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Tendo em conta as necessidades apontadas anteriormente, concluímos que é necessário instalar um sistema fotovoltaico com uma potência instalada de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 xml:space="preserve">1,05 </w:t>
      </w:r>
      <w:proofErr w:type="spellStart"/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kWp</w:t>
      </w:r>
      <w:proofErr w:type="spellEnd"/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e uma potência nominal de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1,5 kW.</w:t>
      </w: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Este sistema permitirá uma produção anual estimada de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 xml:space="preserve">1,8 </w:t>
      </w:r>
      <w:proofErr w:type="spellStart"/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MWh</w:t>
      </w:r>
      <w:proofErr w:type="spellEnd"/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 xml:space="preserve">/Ano </w:t>
      </w: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e uma produção média de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19,4 kWh/dia</w:t>
      </w: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nos meses de produção. Em toda a nossa análise deixamos sempre uma margem normal entre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10% e 15%</w:t>
      </w: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do total de energia do sistema fotovoltaico que se assume como perda normal pelo: desfasamento dos períodos de consumos; desfasamento entre fases de consumo e fase de injeção em sistemas trifásicos; períodos de manutenção do sistema; e possível </w:t>
      </w:r>
      <w:proofErr w:type="spellStart"/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down</w:t>
      </w:r>
      <w:proofErr w:type="spellEnd"/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- time da instalação. Para minimizar estas perdas, é aconselhável a instalação de um sistema de monitorização da central fotovoltaica para ajudar na tomada de decisões.</w:t>
      </w:r>
    </w:p>
    <w:p w14:paraId="00091DA1" w14:textId="77777777" w:rsidR="00B60FDC" w:rsidRPr="00B60FDC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Com esta configuração de sistema estimamos uma produção anual de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1.749 kWh</w:t>
      </w: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69,7%</w:t>
      </w: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de autoconsumo;</w:t>
      </w:r>
    </w:p>
    <w:p w14:paraId="78C25F6F" w14:textId="77777777" w:rsidR="00B60FDC" w:rsidRPr="00B60FDC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Que se reflete numa redução média anual de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183,64 €</w:t>
      </w: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(ao preço ponderado do contrato de energia no valor de </w:t>
      </w:r>
      <w:r w:rsidRPr="00B60FDC">
        <w:rPr>
          <w:rFonts w:ascii="Verdana" w:eastAsia="Times New Roman" w:hAnsi="Verdana" w:cs="Tahoma"/>
          <w:b/>
          <w:bCs/>
          <w:sz w:val="18"/>
          <w:szCs w:val="18"/>
          <w:lang w:eastAsia="pt-PT"/>
        </w:rPr>
        <w:t>0,1493 €/kWh</w:t>
      </w: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).</w:t>
      </w:r>
    </w:p>
    <w:p w14:paraId="53D41D23" w14:textId="77777777" w:rsidR="00B60FDC" w:rsidRDefault="00B60FDC" w:rsidP="00B60FDC">
      <w:pPr>
        <w:pStyle w:val="Corpodetexto"/>
        <w:spacing w:before="2" w:line="360" w:lineRule="auto"/>
        <w:ind w:left="0"/>
        <w:rPr>
          <w:sz w:val="25"/>
        </w:rPr>
      </w:pPr>
    </w:p>
    <w:p w14:paraId="2D136373" w14:textId="2FE5DB63" w:rsidR="00B60FDC" w:rsidRPr="00B227DE" w:rsidRDefault="00B60FDC" w:rsidP="00B60FDC">
      <w:pPr>
        <w:pStyle w:val="Ttulo1"/>
        <w:spacing w:line="360" w:lineRule="auto"/>
        <w:rPr>
          <w:sz w:val="28"/>
          <w:szCs w:val="28"/>
          <w:u w:val="thick"/>
        </w:rPr>
        <w:sectPr w:rsidR="00B60FDC" w:rsidRPr="00B227DE">
          <w:pgSz w:w="11900" w:h="16840"/>
          <w:pgMar w:top="1340" w:right="1580" w:bottom="280" w:left="1580" w:header="720" w:footer="720" w:gutter="0"/>
          <w:cols w:space="720"/>
        </w:sectPr>
      </w:pPr>
      <w:r w:rsidRPr="00B60FDC">
        <w:rPr>
          <w:sz w:val="28"/>
          <w:szCs w:val="28"/>
          <w:u w:val="thick"/>
        </w:rPr>
        <w:t>Solução técnica e descrição geral dos componentes:</w:t>
      </w:r>
    </w:p>
    <w:p w14:paraId="5BDB0A84" w14:textId="77777777" w:rsidR="00B60FDC" w:rsidRPr="00F83B15" w:rsidRDefault="00B60FDC" w:rsidP="00B60FDC">
      <w:pPr>
        <w:spacing w:line="360" w:lineRule="auto"/>
        <w:rPr>
          <w:rFonts w:ascii="Verdana" w:hAnsi="Verdana"/>
          <w:i/>
          <w:iCs/>
          <w:sz w:val="22"/>
          <w:szCs w:val="22"/>
          <w:u w:val="single"/>
        </w:rPr>
      </w:pPr>
      <w:r w:rsidRPr="00F83B15">
        <w:rPr>
          <w:rFonts w:ascii="Verdana" w:hAnsi="Verdana"/>
          <w:i/>
          <w:iCs/>
          <w:sz w:val="22"/>
          <w:szCs w:val="22"/>
          <w:u w:val="single"/>
        </w:rPr>
        <w:lastRenderedPageBreak/>
        <w:t>Módulos fotovoltaicos</w:t>
      </w:r>
    </w:p>
    <w:p w14:paraId="7D2F5EB0" w14:textId="77777777" w:rsidR="00B60FDC" w:rsidRDefault="00B60FDC" w:rsidP="00B60FDC">
      <w:pPr>
        <w:pStyle w:val="Corpodetexto"/>
        <w:spacing w:before="11" w:line="360" w:lineRule="auto"/>
        <w:ind w:left="0"/>
        <w:rPr>
          <w:rFonts w:ascii="Arial"/>
          <w:i/>
          <w:sz w:val="17"/>
        </w:rPr>
      </w:pPr>
    </w:p>
    <w:p w14:paraId="1D5085FE" w14:textId="77777777" w:rsidR="00B60FDC" w:rsidRPr="00B60FDC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Para esta instalação foram selecionados 3 módulos fotovoltaicos da marca e modelo, LG </w:t>
      </w:r>
      <w:proofErr w:type="spellStart"/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Electronics</w:t>
      </w:r>
      <w:proofErr w:type="spellEnd"/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Inc. LG350N1C-N5, com uma potência de 350 </w:t>
      </w:r>
      <w:proofErr w:type="spellStart"/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Wp</w:t>
      </w:r>
      <w:proofErr w:type="spellEnd"/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 xml:space="preserve"> e que permitirá ter uma potência total instalada de 1,05 </w:t>
      </w:r>
      <w:proofErr w:type="spellStart"/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kWp</w:t>
      </w:r>
      <w:proofErr w:type="spellEnd"/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. Os módulos apresentados têm uma eficiência de conversão de 20,3%, com uma garantia de 25 anos dos materiais e processos, e garantia de rentabilidade de produção de 90,1% ao final de 25 anos. Valores apresentados para condições STC.</w:t>
      </w:r>
    </w:p>
    <w:p w14:paraId="35312516" w14:textId="77777777" w:rsidR="00B60FDC" w:rsidRPr="00B60FDC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Custo estimado para esta rúbrica é de: 580,00 €</w:t>
      </w:r>
    </w:p>
    <w:p w14:paraId="39687F3B" w14:textId="77777777" w:rsidR="00B60FDC" w:rsidRDefault="00B60FDC" w:rsidP="00B60FDC">
      <w:pPr>
        <w:pStyle w:val="Corpodetexto"/>
        <w:spacing w:before="7" w:line="360" w:lineRule="auto"/>
        <w:ind w:left="0"/>
        <w:rPr>
          <w:sz w:val="25"/>
        </w:rPr>
      </w:pPr>
    </w:p>
    <w:p w14:paraId="78E5C3C9" w14:textId="77777777" w:rsidR="00B60FDC" w:rsidRPr="00F83B15" w:rsidRDefault="00B60FDC" w:rsidP="00F83B15">
      <w:pPr>
        <w:spacing w:line="360" w:lineRule="auto"/>
        <w:rPr>
          <w:rFonts w:ascii="Verdana" w:hAnsi="Verdana"/>
          <w:i/>
          <w:iCs/>
          <w:sz w:val="22"/>
          <w:szCs w:val="22"/>
          <w:u w:val="single"/>
        </w:rPr>
      </w:pPr>
      <w:r w:rsidRPr="00F83B15">
        <w:rPr>
          <w:rFonts w:ascii="Verdana" w:hAnsi="Verdana"/>
          <w:i/>
          <w:iCs/>
          <w:sz w:val="22"/>
          <w:szCs w:val="22"/>
          <w:u w:val="single"/>
        </w:rPr>
        <w:t>Inversor(</w:t>
      </w:r>
      <w:proofErr w:type="spellStart"/>
      <w:r w:rsidRPr="00F83B15">
        <w:rPr>
          <w:rFonts w:ascii="Verdana" w:hAnsi="Verdana"/>
          <w:i/>
          <w:iCs/>
          <w:sz w:val="22"/>
          <w:szCs w:val="22"/>
          <w:u w:val="single"/>
        </w:rPr>
        <w:t>es</w:t>
      </w:r>
      <w:proofErr w:type="spellEnd"/>
      <w:r w:rsidRPr="00F83B15">
        <w:rPr>
          <w:rFonts w:ascii="Verdana" w:hAnsi="Verdana"/>
          <w:i/>
          <w:iCs/>
          <w:sz w:val="22"/>
          <w:szCs w:val="22"/>
          <w:u w:val="single"/>
        </w:rPr>
        <w:t>)</w:t>
      </w:r>
    </w:p>
    <w:p w14:paraId="2194EF8E" w14:textId="77777777" w:rsidR="00B60FDC" w:rsidRPr="00B60FDC" w:rsidRDefault="00B60FDC" w:rsidP="00B60FDC">
      <w:pPr>
        <w:pStyle w:val="Corpodetexto"/>
        <w:spacing w:before="162" w:line="360" w:lineRule="auto"/>
        <w:ind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</w:p>
    <w:p w14:paraId="69B6E609" w14:textId="77777777" w:rsidR="00B60FDC" w:rsidRPr="00B60FDC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Neste caso foi selecionado 1 inversores da marca e modelo, SMA SB 1.5-1VL-40, com uma potência nominal de 1,5 kW. Tendo em conta as características de tolerância na entrada DC do inversor, este respeita a potência instalada projetada para a instalação não constituindo qualquer risco que provoque danos no equipamento.</w:t>
      </w:r>
    </w:p>
    <w:p w14:paraId="28A3E41A" w14:textId="77777777" w:rsidR="00B60FDC" w:rsidRPr="00B60FDC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Este inversor tem uma garantia de 10 anos contra defeitos de fabrico e pode ser extensível até 15 anos.</w:t>
      </w:r>
    </w:p>
    <w:p w14:paraId="32728473" w14:textId="77777777" w:rsidR="00B60FDC" w:rsidRPr="00B60FDC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B60FDC">
        <w:rPr>
          <w:rFonts w:ascii="Verdana" w:eastAsia="Times New Roman" w:hAnsi="Verdana" w:cs="Tahoma"/>
          <w:sz w:val="18"/>
          <w:szCs w:val="18"/>
          <w:lang w:eastAsia="pt-PT"/>
        </w:rPr>
        <w:t>Custo estimado para esta rúbrica é de: 725,00 €</w:t>
      </w:r>
    </w:p>
    <w:p w14:paraId="6E5002CC" w14:textId="77777777" w:rsidR="00B60FDC" w:rsidRDefault="00B60FDC" w:rsidP="00B60FDC">
      <w:pPr>
        <w:pStyle w:val="Corpodetexto"/>
        <w:spacing w:before="7" w:line="360" w:lineRule="auto"/>
        <w:ind w:left="0"/>
        <w:rPr>
          <w:sz w:val="25"/>
        </w:rPr>
      </w:pPr>
    </w:p>
    <w:p w14:paraId="0E882FD8" w14:textId="77777777" w:rsidR="00B60FDC" w:rsidRPr="00F83B15" w:rsidRDefault="00B60FDC" w:rsidP="00F83B15">
      <w:pPr>
        <w:spacing w:line="360" w:lineRule="auto"/>
        <w:rPr>
          <w:rFonts w:ascii="Verdana" w:hAnsi="Verdana"/>
          <w:i/>
          <w:iCs/>
          <w:sz w:val="22"/>
          <w:szCs w:val="22"/>
          <w:u w:val="single"/>
        </w:rPr>
      </w:pPr>
      <w:r w:rsidRPr="00F83B15">
        <w:rPr>
          <w:rFonts w:ascii="Verdana" w:hAnsi="Verdana"/>
          <w:i/>
          <w:iCs/>
          <w:sz w:val="22"/>
          <w:szCs w:val="22"/>
          <w:u w:val="single"/>
        </w:rPr>
        <w:t>Quadros e proteções elétricas;</w:t>
      </w:r>
    </w:p>
    <w:p w14:paraId="19A01BF5" w14:textId="77777777" w:rsidR="00B60FDC" w:rsidRDefault="00B60FDC" w:rsidP="00B60FDC">
      <w:pPr>
        <w:pStyle w:val="Corpodetexto"/>
        <w:spacing w:before="5" w:line="360" w:lineRule="auto"/>
        <w:ind w:left="0"/>
        <w:rPr>
          <w:rFonts w:ascii="Arial"/>
          <w:i/>
          <w:sz w:val="17"/>
        </w:rPr>
      </w:pPr>
    </w:p>
    <w:p w14:paraId="2E5D391B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Na classificação dos espaços quanto às influências externas teve-se em conta o prescrito nas secções 321, 322 e 323 das Regras Técnicas de Instalações Elétricas de Baixa Tensão (RTIEBT). Na escolha de todo o tipo de equipamento dever-se-á ter em conta a Classe de Isolamento correspondente às condições de influência externa de cada espaço e o expresso na secção 512 das RTIEBT.</w:t>
      </w:r>
    </w:p>
    <w:p w14:paraId="49649600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Para a colocação das proteções elétricas foram selecionados quadros elétricos com Classe II de isolamento e grau de proteção mínima IP55</w:t>
      </w:r>
    </w:p>
    <w:p w14:paraId="32DB6BFF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No circuito DC serão contemplados descarregadores de sobretensão, sendo que podem ser colocados dentro dos inversores quando assim for possível ou em quadro elétrico exterior quando não se verifique essa possibilidade.</w:t>
      </w:r>
    </w:p>
    <w:p w14:paraId="26CAE1FE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Para o circuito AC, e tendo em conta a corrente de serviço na instalação fotovoltaica deveremos ter em conta as seguintes proteções:</w:t>
      </w:r>
    </w:p>
    <w:p w14:paraId="504C8445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1 Disjuntor </w:t>
      </w:r>
      <w:proofErr w:type="spellStart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magnetotérmico</w:t>
      </w:r>
      <w:proofErr w:type="spellEnd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 2P de 6A, curva C com poder de corte nunca inferior a 3kA;</w:t>
      </w:r>
    </w:p>
    <w:p w14:paraId="227B3158" w14:textId="77777777" w:rsidR="00B60FDC" w:rsidRDefault="00B60FDC" w:rsidP="00F141A3">
      <w:pPr>
        <w:spacing w:line="360" w:lineRule="auto"/>
        <w:sectPr w:rsidR="00B60FDC">
          <w:pgSz w:w="11900" w:h="16840"/>
          <w:pgMar w:top="1340" w:right="1580" w:bottom="280" w:left="1580" w:header="720" w:footer="720" w:gutter="0"/>
          <w:cols w:space="720"/>
        </w:sectPr>
      </w:pPr>
    </w:p>
    <w:p w14:paraId="6B20D47C" w14:textId="0E69F26F" w:rsidR="00B60FDC" w:rsidRPr="00F83B15" w:rsidRDefault="00F83B15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>
        <w:rPr>
          <w:rFonts w:ascii="Verdana" w:eastAsia="Times New Roman" w:hAnsi="Verdana" w:cs="Tahoma"/>
          <w:sz w:val="18"/>
          <w:szCs w:val="18"/>
          <w:lang w:eastAsia="pt-PT"/>
        </w:rPr>
        <w:lastRenderedPageBreak/>
        <w:t>-</w:t>
      </w:r>
      <w:r w:rsidR="00B60FDC" w:rsidRPr="00F83B15">
        <w:rPr>
          <w:rFonts w:ascii="Verdana" w:eastAsia="Times New Roman" w:hAnsi="Verdana" w:cs="Tahoma"/>
          <w:sz w:val="18"/>
          <w:szCs w:val="18"/>
          <w:lang w:eastAsia="pt-PT"/>
        </w:rPr>
        <w:t>1 Interruptor diferencial 2P tipo AC 300mA 25A;</w:t>
      </w:r>
    </w:p>
    <w:p w14:paraId="658478E1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</w:p>
    <w:p w14:paraId="261E35DE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- 1 Disjuntor </w:t>
      </w:r>
      <w:proofErr w:type="spellStart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magnetotérmico</w:t>
      </w:r>
      <w:proofErr w:type="spellEnd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 2P de 6A, curva C com poder de corte nunca inferior a 3kA para interligação com quadro do cliente;</w:t>
      </w:r>
    </w:p>
    <w:p w14:paraId="70054F3A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Todos estes equipamentos têm uma garantia de 2 anos</w:t>
      </w:r>
    </w:p>
    <w:p w14:paraId="16BD4C26" w14:textId="77777777" w:rsidR="00B60FDC" w:rsidRDefault="00B60FDC" w:rsidP="00F141A3">
      <w:pPr>
        <w:pStyle w:val="Corpodetexto"/>
        <w:spacing w:before="1" w:line="360" w:lineRule="auto"/>
        <w:ind w:left="0"/>
        <w:rPr>
          <w:rFonts w:ascii="Arial"/>
          <w:b/>
          <w:sz w:val="25"/>
        </w:rPr>
      </w:pPr>
    </w:p>
    <w:p w14:paraId="771F0CD1" w14:textId="77777777" w:rsidR="00B60FDC" w:rsidRDefault="00B60FDC" w:rsidP="00F141A3">
      <w:pPr>
        <w:pStyle w:val="Corpodetexto"/>
        <w:spacing w:line="360" w:lineRule="auto"/>
        <w:ind w:left="705"/>
      </w:pPr>
      <w:r>
        <w:t>Custo estimado</w:t>
      </w:r>
      <w:r>
        <w:rPr>
          <w:spacing w:val="5"/>
        </w:rPr>
        <w:t xml:space="preserve"> </w:t>
      </w:r>
      <w:r>
        <w:t>para esta</w:t>
      </w:r>
      <w:r>
        <w:rPr>
          <w:spacing w:val="6"/>
        </w:rPr>
        <w:t xml:space="preserve"> </w:t>
      </w:r>
      <w:r>
        <w:t>rúbrica é de: 120 €</w:t>
      </w:r>
    </w:p>
    <w:p w14:paraId="7D3BA4E9" w14:textId="77777777" w:rsidR="00B60FDC" w:rsidRDefault="00B60FDC" w:rsidP="00F141A3">
      <w:pPr>
        <w:pStyle w:val="Corpodetexto"/>
        <w:spacing w:before="7" w:line="360" w:lineRule="auto"/>
        <w:ind w:left="0"/>
        <w:rPr>
          <w:sz w:val="25"/>
        </w:rPr>
      </w:pPr>
    </w:p>
    <w:p w14:paraId="74326990" w14:textId="77777777" w:rsidR="00B60FDC" w:rsidRPr="00F83B15" w:rsidRDefault="00B60FDC" w:rsidP="00F83B15">
      <w:pPr>
        <w:spacing w:line="360" w:lineRule="auto"/>
        <w:rPr>
          <w:rFonts w:ascii="Verdana" w:hAnsi="Verdana"/>
          <w:i/>
          <w:iCs/>
          <w:sz w:val="22"/>
          <w:szCs w:val="22"/>
          <w:u w:val="single"/>
        </w:rPr>
      </w:pPr>
      <w:r w:rsidRPr="00F83B15">
        <w:rPr>
          <w:rFonts w:ascii="Verdana" w:hAnsi="Verdana"/>
          <w:i/>
          <w:iCs/>
          <w:sz w:val="22"/>
          <w:szCs w:val="22"/>
          <w:u w:val="single"/>
        </w:rPr>
        <w:t>Cablagens e passagens de cabos</w:t>
      </w:r>
    </w:p>
    <w:p w14:paraId="4D08C14F" w14:textId="77777777" w:rsidR="00B60FDC" w:rsidRDefault="00B60FDC" w:rsidP="00B60FDC">
      <w:pPr>
        <w:pStyle w:val="Corpodetexto"/>
        <w:spacing w:before="6" w:line="360" w:lineRule="auto"/>
        <w:ind w:left="0"/>
        <w:rPr>
          <w:rFonts w:ascii="Arial"/>
          <w:i/>
          <w:sz w:val="17"/>
        </w:rPr>
      </w:pPr>
    </w:p>
    <w:p w14:paraId="63ECC140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Na ligação dos módulos fotovoltaicos e destes com o inversor, será utilizado cabo solar de 4mm2 do tipo PV ZZ-F. Na interligação dos cabos serão usadas fichas MC4 com IP68 do tipo </w:t>
      </w:r>
      <w:proofErr w:type="spellStart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Staubli</w:t>
      </w:r>
      <w:proofErr w:type="spellEnd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.</w:t>
      </w:r>
    </w:p>
    <w:p w14:paraId="0CBE8E04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Para assegurar uma ligação equipotencial que interligue todos o elementos condutores e superfícies metálicas existentes foi selecionado o cabo do tipo HV07- U1G6mm2;</w:t>
      </w:r>
    </w:p>
    <w:p w14:paraId="055AFA29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Na ligação entre cada inversor e o quadro fotovoltaico será utilizado cabo 5G2,5mm2 RV-K. Na ligação entre o quadro fotovoltaico e o quadro geral de baixa tensão, será utilizado cabo 5G2,5mm2 RV-K.</w:t>
      </w:r>
    </w:p>
    <w:p w14:paraId="0E3BAE0C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As passagens e caminhos de cabos serão feitas através de calha técnica ou tubo VD, adaptando às necessidades locais no exterior e interior do edifício. Todos os caminhos de cabos no exterior devem ser resistentes aos impactos e raios UV, os caminhos de cabos no interior devem ser resistentes a impactos.</w:t>
      </w:r>
    </w:p>
    <w:p w14:paraId="2290A9D9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As passagens de cabos por debaixo do solo deverão ser feitas por tubo corrugado com um afundamento mínimo de 60 centímetros e com fita de sinalização a meia altura da vala.</w:t>
      </w:r>
    </w:p>
    <w:p w14:paraId="22D0B91C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Todos estes equipamentos têm uma garantia de 2 anos.</w:t>
      </w:r>
    </w:p>
    <w:p w14:paraId="3C5A2164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</w:p>
    <w:p w14:paraId="68BFD856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Custo estimado para esta rúbrica é de: 70 €</w:t>
      </w:r>
    </w:p>
    <w:p w14:paraId="22DB415F" w14:textId="77777777" w:rsidR="00B60FDC" w:rsidRDefault="00B60FDC" w:rsidP="00B60FDC">
      <w:pPr>
        <w:pStyle w:val="Corpodetexto"/>
        <w:spacing w:before="2" w:line="360" w:lineRule="auto"/>
        <w:ind w:left="0"/>
        <w:rPr>
          <w:sz w:val="25"/>
        </w:rPr>
      </w:pPr>
    </w:p>
    <w:p w14:paraId="5067A317" w14:textId="77777777" w:rsidR="00B60FDC" w:rsidRPr="00F83B15" w:rsidRDefault="00B60FDC" w:rsidP="00F83B15">
      <w:pPr>
        <w:spacing w:line="360" w:lineRule="auto"/>
        <w:rPr>
          <w:rFonts w:ascii="Verdana" w:hAnsi="Verdana"/>
          <w:i/>
          <w:iCs/>
          <w:sz w:val="22"/>
          <w:szCs w:val="22"/>
          <w:u w:val="single"/>
        </w:rPr>
      </w:pPr>
      <w:r w:rsidRPr="00F83B15">
        <w:rPr>
          <w:rFonts w:ascii="Verdana" w:hAnsi="Verdana"/>
          <w:i/>
          <w:iCs/>
          <w:sz w:val="22"/>
          <w:szCs w:val="22"/>
          <w:u w:val="single"/>
        </w:rPr>
        <w:t>Estrutura fixação dos módulos fotovoltaicos</w:t>
      </w:r>
    </w:p>
    <w:p w14:paraId="32E8916F" w14:textId="77777777" w:rsidR="00B60FDC" w:rsidRDefault="00B60FDC" w:rsidP="00B60FDC">
      <w:pPr>
        <w:pStyle w:val="Corpodetexto"/>
        <w:spacing w:before="10" w:line="360" w:lineRule="auto"/>
        <w:ind w:left="0"/>
        <w:rPr>
          <w:rFonts w:ascii="Arial"/>
          <w:i/>
          <w:sz w:val="17"/>
        </w:rPr>
      </w:pPr>
    </w:p>
    <w:p w14:paraId="1F200E44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Esta instalação será na cobertura de uma construção existente, num sistema fixo à estrutura da cobertura. Está pensado um sistema que fique sobre as coberturas existentes de forma a maximizar o uso de áreas sem utilização para outras atividades, a qual fazemos uma breve descrição dos materiais a utilizar:</w:t>
      </w:r>
    </w:p>
    <w:p w14:paraId="2BD0105C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Perfis de Alumínio </w:t>
      </w:r>
      <w:proofErr w:type="spellStart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extrudidos</w:t>
      </w:r>
      <w:proofErr w:type="spellEnd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 na Liga/Designação – 6060 /EN AW </w:t>
      </w:r>
      <w:proofErr w:type="spellStart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AIMgSi</w:t>
      </w:r>
      <w:proofErr w:type="spellEnd"/>
    </w:p>
    <w:p w14:paraId="6810621A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</w:p>
    <w:p w14:paraId="579060A0" w14:textId="77777777" w:rsidR="00B60FDC" w:rsidRPr="00F83B15" w:rsidRDefault="00B60FDC" w:rsidP="00B227DE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lastRenderedPageBreak/>
        <w:t>Composição química – de acordo com a norma EN 573-3: 2003</w:t>
      </w:r>
    </w:p>
    <w:p w14:paraId="58D7CA84" w14:textId="77777777" w:rsidR="00B60FDC" w:rsidRPr="00F83B15" w:rsidRDefault="00B60FDC" w:rsidP="00B227DE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</w:p>
    <w:p w14:paraId="69811579" w14:textId="77777777" w:rsidR="00B60FDC" w:rsidRPr="00F83B15" w:rsidRDefault="00B60FDC" w:rsidP="00B227DE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Tolerâncias nas dimensões e forma – de acordo com a norma NP EN 755-9: 2002</w:t>
      </w:r>
    </w:p>
    <w:p w14:paraId="1821B5E6" w14:textId="77777777" w:rsidR="00B60FDC" w:rsidRPr="00F83B15" w:rsidRDefault="00B60FDC" w:rsidP="00B227DE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</w:p>
    <w:p w14:paraId="604C0475" w14:textId="77777777" w:rsidR="00B60FDC" w:rsidRPr="00F83B15" w:rsidRDefault="00B60FDC" w:rsidP="00B227DE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Estado de propriedades mecânicas – EPM T5 (standard): Rp0,2 • 120 </w:t>
      </w:r>
      <w:proofErr w:type="spellStart"/>
      <w:proofErr w:type="gramStart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Mpa</w:t>
      </w:r>
      <w:proofErr w:type="spellEnd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 ;</w:t>
      </w:r>
      <w:proofErr w:type="gramEnd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 </w:t>
      </w:r>
      <w:proofErr w:type="spellStart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Rm</w:t>
      </w:r>
      <w:proofErr w:type="spellEnd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 xml:space="preserve"> • 160 </w:t>
      </w:r>
      <w:proofErr w:type="spellStart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Mpa</w:t>
      </w:r>
      <w:proofErr w:type="spellEnd"/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; A_50mm • 6%, de acordo com norma NP EN 755-2: 1999</w:t>
      </w:r>
    </w:p>
    <w:p w14:paraId="5F53D66B" w14:textId="77777777" w:rsidR="00B60FDC" w:rsidRPr="00F83B15" w:rsidRDefault="00B60FDC" w:rsidP="00B227DE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Acessórios de alumínio fabricado a partir de perfis de alumínio com as propriedades anteriormente referidas ou de aço inox em AISI 304</w:t>
      </w:r>
    </w:p>
    <w:p w14:paraId="2E559F83" w14:textId="77777777" w:rsidR="00B60FDC" w:rsidRPr="00F83B15" w:rsidRDefault="00B60FDC" w:rsidP="00B227DE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Elementos de fixação como parafusos, porcas, anilhas e outros elementos de fixação em aço inox A2 ou AISI304.</w:t>
      </w:r>
    </w:p>
    <w:p w14:paraId="25D539DC" w14:textId="77777777" w:rsidR="00B60FDC" w:rsidRPr="00F83B15" w:rsidRDefault="00B60FDC" w:rsidP="00B227DE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O conjunto da estrutura tem uma garantia de 12 anos</w:t>
      </w:r>
    </w:p>
    <w:p w14:paraId="00197B87" w14:textId="77777777" w:rsidR="00B60FDC" w:rsidRPr="00F83B15" w:rsidRDefault="00B60FDC" w:rsidP="00B227DE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</w:p>
    <w:p w14:paraId="6CA48BE8" w14:textId="77777777" w:rsidR="00B60FDC" w:rsidRPr="00F83B15" w:rsidRDefault="00B60FDC" w:rsidP="00B227DE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Custo estimado para esta rúbrica é de: 150,00 €</w:t>
      </w:r>
    </w:p>
    <w:p w14:paraId="7F984761" w14:textId="77777777" w:rsidR="00B60FDC" w:rsidRDefault="00B60FDC" w:rsidP="00B60FDC">
      <w:pPr>
        <w:pStyle w:val="Corpodetexto"/>
        <w:spacing w:before="2" w:line="360" w:lineRule="auto"/>
        <w:ind w:left="0"/>
        <w:rPr>
          <w:sz w:val="25"/>
        </w:rPr>
      </w:pPr>
    </w:p>
    <w:p w14:paraId="0FF744B5" w14:textId="77777777" w:rsidR="00B60FDC" w:rsidRPr="00F83B15" w:rsidRDefault="00B60FDC" w:rsidP="00F83B15">
      <w:pPr>
        <w:spacing w:line="360" w:lineRule="auto"/>
        <w:rPr>
          <w:rFonts w:ascii="Verdana" w:hAnsi="Verdana"/>
          <w:i/>
          <w:iCs/>
          <w:sz w:val="22"/>
          <w:szCs w:val="22"/>
          <w:u w:val="single"/>
        </w:rPr>
      </w:pPr>
      <w:r w:rsidRPr="00F83B15">
        <w:rPr>
          <w:rFonts w:ascii="Verdana" w:hAnsi="Verdana"/>
          <w:i/>
          <w:iCs/>
          <w:sz w:val="22"/>
          <w:szCs w:val="22"/>
          <w:u w:val="single"/>
        </w:rPr>
        <w:t>Trabalhos de instalação do sistema fotovoltaico</w:t>
      </w:r>
    </w:p>
    <w:p w14:paraId="1C139FF5" w14:textId="77777777" w:rsidR="00B60FDC" w:rsidRDefault="00B60FDC" w:rsidP="00B60FDC">
      <w:pPr>
        <w:pStyle w:val="Corpodetexto"/>
        <w:spacing w:before="11" w:line="360" w:lineRule="auto"/>
        <w:ind w:left="0"/>
        <w:rPr>
          <w:rFonts w:ascii="Arial"/>
          <w:i/>
          <w:sz w:val="17"/>
        </w:rPr>
      </w:pPr>
    </w:p>
    <w:p w14:paraId="37EC496E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Todos os trabalhos de levantamento de dados do cliente, condições de instalação e necessidades do local já foram feitas para elaboração deste termo. Para a instalação do sistema todos os trabalhos necessários serão elaborados por equipa certificada pela DGEG e respeitando todas as RTIEBT.</w:t>
      </w:r>
    </w:p>
    <w:p w14:paraId="7EC9C91D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É estimado que a instalação seja elaborada em 7 dias úteis por uma equipa de 1-2 pessoas.</w:t>
      </w:r>
    </w:p>
    <w:p w14:paraId="1E355AAB" w14:textId="77777777" w:rsidR="00B60FDC" w:rsidRPr="00F83B15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t>O custo estimado para esta rúbrica é de: 100,00 €</w:t>
      </w:r>
    </w:p>
    <w:p w14:paraId="7FE412C8" w14:textId="77777777" w:rsidR="00B60FDC" w:rsidRDefault="00B60FDC" w:rsidP="00B60FDC">
      <w:pPr>
        <w:spacing w:line="360" w:lineRule="auto"/>
        <w:sectPr w:rsidR="00B60FDC">
          <w:pgSz w:w="11900" w:h="16840"/>
          <w:pgMar w:top="1340" w:right="1580" w:bottom="280" w:left="1580" w:header="720" w:footer="720" w:gutter="0"/>
          <w:cols w:space="720"/>
        </w:sectPr>
      </w:pPr>
    </w:p>
    <w:p w14:paraId="6BB1797D" w14:textId="77777777" w:rsidR="00B60FDC" w:rsidRPr="00F83B15" w:rsidRDefault="00B60FDC" w:rsidP="00F83B15">
      <w:pPr>
        <w:pStyle w:val="Corpodetexto"/>
        <w:spacing w:before="162" w:line="360" w:lineRule="auto"/>
        <w:ind w:left="0" w:right="115"/>
        <w:jc w:val="both"/>
        <w:rPr>
          <w:rFonts w:ascii="Verdana" w:eastAsia="Times New Roman" w:hAnsi="Verdana" w:cs="Tahoma"/>
          <w:sz w:val="18"/>
          <w:szCs w:val="18"/>
          <w:lang w:eastAsia="pt-PT"/>
        </w:rPr>
      </w:pPr>
      <w:r w:rsidRPr="00F83B15">
        <w:rPr>
          <w:rFonts w:ascii="Verdana" w:eastAsia="Times New Roman" w:hAnsi="Verdana" w:cs="Tahoma"/>
          <w:sz w:val="18"/>
          <w:szCs w:val="18"/>
          <w:lang w:eastAsia="pt-PT"/>
        </w:rPr>
        <w:lastRenderedPageBreak/>
        <w:t>Todos os valores apresentados anteriormente não incluem IVA à taxa legal em vigor.</w:t>
      </w:r>
    </w:p>
    <w:p w14:paraId="03CF9447" w14:textId="77777777" w:rsidR="00850763" w:rsidRDefault="00850763" w:rsidP="00F83B15">
      <w:pPr>
        <w:spacing w:line="360" w:lineRule="auto"/>
        <w:rPr>
          <w:rFonts w:ascii="Verdana" w:hAnsi="Verdana"/>
          <w:b/>
          <w:sz w:val="18"/>
          <w:szCs w:val="20"/>
        </w:rPr>
      </w:pPr>
    </w:p>
    <w:p w14:paraId="0F379413" w14:textId="7EE72050" w:rsidR="005D780D" w:rsidRPr="00701CC1" w:rsidRDefault="005D780D" w:rsidP="00B60FDC">
      <w:pPr>
        <w:spacing w:line="360" w:lineRule="auto"/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INFORMAÇÃO COMPLEMENTAR CRITÉRIOS DE HIERARQUIZAÇÃO </w:t>
      </w:r>
    </w:p>
    <w:p w14:paraId="62385386" w14:textId="77777777" w:rsidR="005D780D" w:rsidRDefault="005D780D" w:rsidP="00B60FDC">
      <w:pPr>
        <w:spacing w:line="360" w:lineRule="auto"/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>Valia Global da Operação</w:t>
      </w:r>
    </w:p>
    <w:p w14:paraId="5EB72835" w14:textId="77777777" w:rsidR="00905059" w:rsidRDefault="00905059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14:paraId="25E9257B" w14:textId="77B75EA3" w:rsidR="005D780D" w:rsidRPr="004631F7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sz w:val="18"/>
          <w:szCs w:val="18"/>
        </w:rPr>
        <w:t>A metodologia de apuramento da Valia Global da Operação</w:t>
      </w:r>
      <w:r w:rsidR="00905059">
        <w:rPr>
          <w:rFonts w:ascii="Verdana" w:hAnsi="Verdana"/>
          <w:sz w:val="18"/>
          <w:szCs w:val="18"/>
        </w:rPr>
        <w:t xml:space="preserve"> é</w:t>
      </w:r>
      <w:r w:rsidRPr="004631F7">
        <w:rPr>
          <w:rFonts w:ascii="Verdana" w:hAnsi="Verdana"/>
          <w:sz w:val="18"/>
          <w:szCs w:val="18"/>
        </w:rPr>
        <w:t>:</w:t>
      </w:r>
    </w:p>
    <w:p w14:paraId="7C4FA570" w14:textId="77777777" w:rsidR="005D780D" w:rsidRPr="004631F7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14:paraId="168ABE04" w14:textId="7C287D68" w:rsidR="005D780D" w:rsidRPr="004631F7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 0,50 LOC + 0,35 OEE + 0,10 IPF + 0,05 EAF</w:t>
      </w:r>
    </w:p>
    <w:p w14:paraId="63A84A89" w14:textId="152556A0" w:rsidR="005D780D" w:rsidRPr="004631F7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</w:t>
      </w:r>
      <w:r w:rsidR="006B1F5D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(0.50 *</w:t>
      </w:r>
      <w:r w:rsidR="00ED239F">
        <w:rPr>
          <w:rFonts w:ascii="Verdana" w:hAnsi="Verdana"/>
          <w:sz w:val="18"/>
          <w:szCs w:val="18"/>
        </w:rPr>
        <w:t>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0.35*15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0.10*20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</w:t>
      </w:r>
      <w:r>
        <w:rPr>
          <w:rFonts w:ascii="Verdana" w:hAnsi="Verdana"/>
          <w:sz w:val="18"/>
          <w:szCs w:val="18"/>
        </w:rPr>
        <w:t xml:space="preserve"> (</w:t>
      </w:r>
      <w:r w:rsidRPr="004631F7">
        <w:rPr>
          <w:rFonts w:ascii="Verdana" w:hAnsi="Verdana"/>
          <w:sz w:val="18"/>
          <w:szCs w:val="18"/>
        </w:rPr>
        <w:t>0.05*0</w:t>
      </w:r>
      <w:r>
        <w:rPr>
          <w:rFonts w:ascii="Verdana" w:hAnsi="Verdana"/>
          <w:sz w:val="18"/>
          <w:szCs w:val="18"/>
        </w:rPr>
        <w:t xml:space="preserve">) = </w:t>
      </w:r>
      <w:r w:rsidR="008A10AF">
        <w:rPr>
          <w:rFonts w:ascii="Verdana" w:hAnsi="Verdana"/>
          <w:sz w:val="18"/>
          <w:szCs w:val="18"/>
        </w:rPr>
        <w:t>17,25</w:t>
      </w:r>
    </w:p>
    <w:p w14:paraId="4A40549E" w14:textId="77777777" w:rsidR="005D780D" w:rsidRPr="004631F7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14:paraId="20FB0BFD" w14:textId="3B93879F" w:rsidR="005D780D" w:rsidRPr="001342C4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O apuramento da </w:t>
      </w:r>
      <w:r w:rsidRPr="001342C4">
        <w:rPr>
          <w:rFonts w:ascii="Verdana" w:hAnsi="Verdana"/>
          <w:b/>
          <w:sz w:val="18"/>
          <w:szCs w:val="18"/>
        </w:rPr>
        <w:t>VGO</w:t>
      </w:r>
      <w:r w:rsidRPr="001342C4">
        <w:rPr>
          <w:rFonts w:ascii="Verdana" w:hAnsi="Verdana"/>
          <w:sz w:val="18"/>
          <w:szCs w:val="18"/>
        </w:rPr>
        <w:t xml:space="preserve"> de </w:t>
      </w:r>
      <w:r w:rsidR="00ED239F">
        <w:rPr>
          <w:rFonts w:ascii="Verdana" w:hAnsi="Verdana"/>
          <w:b/>
          <w:sz w:val="18"/>
          <w:szCs w:val="18"/>
        </w:rPr>
        <w:t>17,25</w:t>
      </w:r>
      <w:r w:rsidRPr="001342C4">
        <w:rPr>
          <w:rFonts w:ascii="Verdana" w:hAnsi="Verdana"/>
          <w:b/>
          <w:sz w:val="18"/>
          <w:szCs w:val="18"/>
        </w:rPr>
        <w:t xml:space="preserve"> Pontos</w:t>
      </w:r>
      <w:r w:rsidRPr="001342C4">
        <w:rPr>
          <w:rFonts w:ascii="Verdana" w:hAnsi="Verdana"/>
          <w:sz w:val="18"/>
          <w:szCs w:val="18"/>
        </w:rPr>
        <w:t xml:space="preserve"> resulta da pontuação nos seguintes critérios:</w:t>
      </w:r>
    </w:p>
    <w:p w14:paraId="5A07B38A" w14:textId="77777777" w:rsidR="005D780D" w:rsidRPr="001342C4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14:paraId="747F8BAC" w14:textId="6FBC113A" w:rsidR="005D780D" w:rsidRPr="00562DBF" w:rsidRDefault="005D780D" w:rsidP="00B60FDC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562DBF">
        <w:rPr>
          <w:rFonts w:ascii="Verdana" w:hAnsi="Verdana"/>
          <w:b/>
          <w:sz w:val="18"/>
          <w:szCs w:val="18"/>
        </w:rPr>
        <w:t>LOC</w:t>
      </w:r>
      <w:r>
        <w:rPr>
          <w:rFonts w:ascii="Verdana" w:hAnsi="Verdana"/>
          <w:b/>
          <w:sz w:val="18"/>
          <w:szCs w:val="18"/>
        </w:rPr>
        <w:t xml:space="preserve"> </w:t>
      </w:r>
      <w:r w:rsidRPr="00562DBF">
        <w:rPr>
          <w:rFonts w:ascii="Verdana" w:hAnsi="Verdana"/>
          <w:sz w:val="18"/>
          <w:szCs w:val="18"/>
        </w:rPr>
        <w:t>- Localização do Investimento</w:t>
      </w:r>
      <w:r w:rsidRPr="00562DBF">
        <w:rPr>
          <w:rFonts w:ascii="Verdana" w:hAnsi="Verdana"/>
          <w:b/>
          <w:sz w:val="18"/>
          <w:szCs w:val="18"/>
        </w:rPr>
        <w:t xml:space="preserve"> (</w:t>
      </w:r>
      <w:r w:rsidR="00ED239F">
        <w:rPr>
          <w:rFonts w:ascii="Verdana" w:hAnsi="Verdana"/>
          <w:b/>
          <w:sz w:val="18"/>
          <w:szCs w:val="18"/>
        </w:rPr>
        <w:t>20</w:t>
      </w:r>
      <w:r w:rsidRPr="00562DBF">
        <w:rPr>
          <w:rFonts w:ascii="Verdana" w:hAnsi="Verdana"/>
          <w:b/>
          <w:sz w:val="18"/>
          <w:szCs w:val="18"/>
        </w:rPr>
        <w:t xml:space="preserve"> pontos)  </w:t>
      </w:r>
    </w:p>
    <w:p w14:paraId="5C1E3DD1" w14:textId="7DBA9AC0" w:rsidR="005D780D" w:rsidRPr="00ED239F" w:rsidRDefault="00ED239F" w:rsidP="00B60FDC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Dado que a l</w:t>
      </w:r>
      <w:r w:rsidRPr="00ED239F">
        <w:rPr>
          <w:rFonts w:ascii="Verdana" w:hAnsi="Verdana" w:cs="Tahoma"/>
          <w:sz w:val="18"/>
          <w:szCs w:val="18"/>
        </w:rPr>
        <w:t xml:space="preserve">ocalização do investimento </w:t>
      </w:r>
      <w:r>
        <w:rPr>
          <w:rFonts w:ascii="Verdana" w:hAnsi="Verdana" w:cs="Tahoma"/>
          <w:sz w:val="18"/>
          <w:szCs w:val="18"/>
        </w:rPr>
        <w:t>é</w:t>
      </w:r>
      <w:r w:rsidRPr="00ED239F">
        <w:rPr>
          <w:rFonts w:ascii="Verdana" w:hAnsi="Verdana" w:cs="Tahoma"/>
          <w:sz w:val="18"/>
          <w:szCs w:val="18"/>
        </w:rPr>
        <w:t xml:space="preserve"> em Zonas abrangidas pelo Plano Nacional para a Coesão Territorial, constantes do anexo III da RCM n.º 72/2016</w:t>
      </w:r>
      <w:r>
        <w:rPr>
          <w:rFonts w:ascii="Verdana" w:hAnsi="Verdana" w:cs="Tahoma"/>
          <w:sz w:val="18"/>
          <w:szCs w:val="18"/>
        </w:rPr>
        <w:t xml:space="preserve"> e </w:t>
      </w:r>
      <w:r>
        <w:rPr>
          <w:rFonts w:ascii="Verdana" w:hAnsi="Verdana"/>
          <w:sz w:val="18"/>
          <w:szCs w:val="18"/>
        </w:rPr>
        <w:t>z</w:t>
      </w:r>
      <w:r w:rsidR="005D780D" w:rsidRPr="005D780D">
        <w:rPr>
          <w:rFonts w:ascii="Verdana" w:hAnsi="Verdana"/>
          <w:sz w:val="18"/>
          <w:szCs w:val="18"/>
        </w:rPr>
        <w:t>ona desfavorecida de montanha (Portaria n.º 5/2019, de 04/01/2019)</w:t>
      </w:r>
      <w:r>
        <w:rPr>
          <w:rFonts w:ascii="Verdana" w:hAnsi="Verdana"/>
          <w:sz w:val="18"/>
          <w:szCs w:val="18"/>
        </w:rPr>
        <w:t>.</w:t>
      </w:r>
    </w:p>
    <w:p w14:paraId="2B748325" w14:textId="65198220" w:rsidR="005D780D" w:rsidRPr="005D780D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5D780D">
        <w:rPr>
          <w:rFonts w:ascii="Verdana" w:hAnsi="Verdana"/>
          <w:sz w:val="18"/>
          <w:szCs w:val="18"/>
        </w:rPr>
        <w:t xml:space="preserve">Pontuação: </w:t>
      </w:r>
      <w:r>
        <w:rPr>
          <w:rFonts w:ascii="Verdana" w:hAnsi="Verdana"/>
          <w:sz w:val="18"/>
          <w:szCs w:val="18"/>
        </w:rPr>
        <w:t>LOC</w:t>
      </w:r>
      <w:r w:rsidRPr="005D780D">
        <w:rPr>
          <w:rFonts w:ascii="Verdana" w:hAnsi="Verdana"/>
          <w:sz w:val="18"/>
          <w:szCs w:val="18"/>
        </w:rPr>
        <w:t xml:space="preserve">= </w:t>
      </w:r>
      <w:r w:rsidR="00ED239F">
        <w:rPr>
          <w:rFonts w:ascii="Verdana" w:hAnsi="Verdana"/>
          <w:sz w:val="18"/>
          <w:szCs w:val="18"/>
        </w:rPr>
        <w:t>20</w:t>
      </w:r>
      <w:r w:rsidRPr="005D780D">
        <w:rPr>
          <w:rFonts w:ascii="Verdana" w:hAnsi="Verdana"/>
          <w:sz w:val="18"/>
          <w:szCs w:val="18"/>
        </w:rPr>
        <w:t xml:space="preserve"> pontos</w:t>
      </w:r>
    </w:p>
    <w:p w14:paraId="0F367057" w14:textId="77777777" w:rsidR="005D780D" w:rsidRPr="005D780D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14:paraId="110C3070" w14:textId="77777777" w:rsidR="005D780D" w:rsidRDefault="005D780D" w:rsidP="00B60FDC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OEE</w:t>
      </w:r>
      <w:r>
        <w:rPr>
          <w:rFonts w:ascii="Verdana" w:hAnsi="Verdana"/>
          <w:b/>
          <w:sz w:val="18"/>
          <w:szCs w:val="18"/>
        </w:rPr>
        <w:t xml:space="preserve">- </w:t>
      </w:r>
      <w:r w:rsidRPr="001342C4">
        <w:rPr>
          <w:rFonts w:ascii="Verdana" w:hAnsi="Verdana"/>
          <w:sz w:val="18"/>
          <w:szCs w:val="18"/>
        </w:rPr>
        <w:t>Origem da Energia Elétrica (situação pré-candidatura)</w:t>
      </w:r>
      <w:r w:rsidRPr="001342C4">
        <w:rPr>
          <w:rFonts w:ascii="Verdana" w:hAnsi="Verdana"/>
          <w:b/>
          <w:sz w:val="18"/>
          <w:szCs w:val="18"/>
        </w:rPr>
        <w:t xml:space="preserve"> (15 pontos)</w:t>
      </w:r>
      <w:r w:rsidRPr="001342C4">
        <w:rPr>
          <w:rFonts w:ascii="Verdana" w:hAnsi="Verdana"/>
          <w:sz w:val="18"/>
          <w:szCs w:val="18"/>
        </w:rPr>
        <w:t xml:space="preserve"> </w:t>
      </w:r>
    </w:p>
    <w:p w14:paraId="4F1D1ACD" w14:textId="77777777" w:rsidR="005D780D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5D780D">
        <w:rPr>
          <w:rFonts w:ascii="Verdana" w:hAnsi="Verdana"/>
          <w:sz w:val="18"/>
          <w:szCs w:val="18"/>
        </w:rPr>
        <w:t xml:space="preserve"> </w:t>
      </w:r>
    </w:p>
    <w:p w14:paraId="36808549" w14:textId="11CCE00D" w:rsidR="005D780D" w:rsidRPr="005D780D" w:rsidRDefault="00EF37E9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Dado que a</w:t>
      </w:r>
      <w:r w:rsidR="005D780D" w:rsidRPr="005D780D">
        <w:rPr>
          <w:rFonts w:ascii="Verdana" w:hAnsi="Verdana"/>
          <w:sz w:val="18"/>
          <w:szCs w:val="18"/>
        </w:rPr>
        <w:t xml:space="preserve"> energia consumida no local de investimento provém apenas de uma ligação à rede de energia elétrica</w:t>
      </w:r>
      <w:r>
        <w:rPr>
          <w:rFonts w:ascii="Verdana" w:hAnsi="Verdana"/>
          <w:sz w:val="18"/>
          <w:szCs w:val="18"/>
        </w:rPr>
        <w:t>.</w:t>
      </w:r>
      <w:r w:rsidR="005D780D" w:rsidRPr="005D780D">
        <w:rPr>
          <w:rFonts w:ascii="Verdana" w:hAnsi="Verdana"/>
          <w:sz w:val="18"/>
          <w:szCs w:val="18"/>
        </w:rPr>
        <w:t xml:space="preserve"> </w:t>
      </w:r>
    </w:p>
    <w:p w14:paraId="7B860686" w14:textId="77777777" w:rsidR="005D780D" w:rsidRPr="005D780D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5D780D">
        <w:rPr>
          <w:rFonts w:ascii="Verdana" w:hAnsi="Verdana"/>
          <w:sz w:val="18"/>
          <w:szCs w:val="18"/>
        </w:rPr>
        <w:t>Pontuação: OEE= 15 pontos</w:t>
      </w:r>
    </w:p>
    <w:p w14:paraId="5FB54E0B" w14:textId="77777777" w:rsidR="005D780D" w:rsidRPr="00DA157B" w:rsidRDefault="005D780D" w:rsidP="00B60FD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color w:val="000000" w:themeColor="text1"/>
          <w:sz w:val="18"/>
          <w:szCs w:val="18"/>
        </w:rPr>
      </w:pPr>
    </w:p>
    <w:p w14:paraId="497FF681" w14:textId="7E270804" w:rsidR="005D780D" w:rsidRPr="00DA157B" w:rsidRDefault="005D780D" w:rsidP="00B60FDC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color w:val="000000" w:themeColor="text1"/>
          <w:sz w:val="18"/>
          <w:szCs w:val="18"/>
        </w:rPr>
      </w:pPr>
      <w:r w:rsidRPr="00DA157B">
        <w:rPr>
          <w:rFonts w:ascii="Verdana" w:hAnsi="Verdana"/>
          <w:b/>
          <w:color w:val="000000" w:themeColor="text1"/>
          <w:sz w:val="18"/>
          <w:szCs w:val="18"/>
        </w:rPr>
        <w:t xml:space="preserve">IPF- </w:t>
      </w:r>
      <w:r w:rsidRPr="00DA157B">
        <w:rPr>
          <w:rFonts w:ascii="Verdana" w:hAnsi="Verdana"/>
          <w:color w:val="000000" w:themeColor="text1"/>
          <w:sz w:val="18"/>
          <w:szCs w:val="18"/>
        </w:rPr>
        <w:t>Instalação dos Painéis Fotovoltaicos</w:t>
      </w:r>
      <w:r w:rsidRPr="00DA157B">
        <w:rPr>
          <w:rFonts w:ascii="Verdana" w:hAnsi="Verdana"/>
          <w:b/>
          <w:color w:val="000000" w:themeColor="text1"/>
          <w:sz w:val="18"/>
          <w:szCs w:val="18"/>
        </w:rPr>
        <w:t xml:space="preserve"> (20 pontos)</w:t>
      </w:r>
      <w:r w:rsidRPr="00DA157B">
        <w:rPr>
          <w:rFonts w:ascii="Verdana" w:hAnsi="Verdana"/>
          <w:color w:val="000000" w:themeColor="text1"/>
          <w:sz w:val="18"/>
          <w:szCs w:val="18"/>
        </w:rPr>
        <w:t xml:space="preserve"> </w:t>
      </w:r>
    </w:p>
    <w:p w14:paraId="7011D4D6" w14:textId="77777777" w:rsidR="005D780D" w:rsidRPr="00DA157B" w:rsidRDefault="005D780D" w:rsidP="00B60FDC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color w:val="000000" w:themeColor="text1"/>
          <w:sz w:val="18"/>
          <w:szCs w:val="18"/>
        </w:rPr>
      </w:pPr>
    </w:p>
    <w:p w14:paraId="4D208C07" w14:textId="154A8BA2" w:rsidR="005D780D" w:rsidRPr="00DA157B" w:rsidRDefault="00EF37E9" w:rsidP="00B60FDC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Verdana" w:hAnsi="Verdana"/>
          <w:color w:val="000000" w:themeColor="text1"/>
          <w:sz w:val="18"/>
          <w:szCs w:val="18"/>
        </w:rPr>
      </w:pPr>
      <w:r w:rsidRPr="00DA157B">
        <w:rPr>
          <w:rFonts w:ascii="Verdana" w:hAnsi="Verdana"/>
          <w:color w:val="000000" w:themeColor="text1"/>
          <w:sz w:val="18"/>
          <w:szCs w:val="18"/>
        </w:rPr>
        <w:t>Dado que o</w:t>
      </w:r>
      <w:r w:rsidR="005D780D" w:rsidRPr="00DA157B">
        <w:rPr>
          <w:rFonts w:ascii="Verdana" w:hAnsi="Verdana"/>
          <w:color w:val="000000" w:themeColor="text1"/>
          <w:sz w:val="18"/>
          <w:szCs w:val="18"/>
        </w:rPr>
        <w:t xml:space="preserve">s painéis fotovoltaicos serão instalados </w:t>
      </w:r>
      <w:r w:rsidR="00954279">
        <w:rPr>
          <w:rFonts w:ascii="Verdana" w:hAnsi="Verdana"/>
          <w:color w:val="000000" w:themeColor="text1"/>
          <w:sz w:val="18"/>
          <w:szCs w:val="18"/>
        </w:rPr>
        <w:t>na cobertura de um edifício</w:t>
      </w:r>
      <w:r w:rsidR="00EE10F0" w:rsidRPr="00DA157B">
        <w:rPr>
          <w:rFonts w:ascii="Verdana" w:hAnsi="Verdana"/>
          <w:color w:val="000000" w:themeColor="text1"/>
          <w:sz w:val="18"/>
          <w:szCs w:val="18"/>
        </w:rPr>
        <w:t>.</w:t>
      </w:r>
    </w:p>
    <w:p w14:paraId="74A8C839" w14:textId="77777777" w:rsidR="005D780D" w:rsidRPr="00DA157B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color w:val="000000" w:themeColor="text1"/>
          <w:sz w:val="18"/>
          <w:szCs w:val="18"/>
        </w:rPr>
      </w:pPr>
      <w:r w:rsidRPr="00DA157B">
        <w:rPr>
          <w:rFonts w:ascii="Verdana" w:hAnsi="Verdana"/>
          <w:color w:val="000000" w:themeColor="text1"/>
          <w:sz w:val="18"/>
          <w:szCs w:val="18"/>
        </w:rPr>
        <w:t>Pontuação: IPF = 20 pontos</w:t>
      </w:r>
    </w:p>
    <w:p w14:paraId="0A163131" w14:textId="77777777" w:rsidR="005D780D" w:rsidRPr="001342C4" w:rsidRDefault="005D780D" w:rsidP="00B60FDC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</w:p>
    <w:p w14:paraId="6FCA2A58" w14:textId="4855075B" w:rsidR="005D780D" w:rsidRPr="005D780D" w:rsidRDefault="005D780D" w:rsidP="00B60FDC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 w:cs="Helvetic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EAF – Estatuto de Agricultura familiar</w:t>
      </w:r>
      <w:r w:rsidRPr="001342C4">
        <w:rPr>
          <w:rFonts w:ascii="Verdana" w:hAnsi="Verdana"/>
          <w:sz w:val="18"/>
          <w:szCs w:val="18"/>
        </w:rPr>
        <w:t xml:space="preserve"> </w:t>
      </w:r>
      <w:r w:rsidR="008124B7" w:rsidRPr="001342C4">
        <w:rPr>
          <w:rFonts w:ascii="Verdana" w:hAnsi="Verdana"/>
          <w:b/>
          <w:sz w:val="18"/>
          <w:szCs w:val="18"/>
        </w:rPr>
        <w:t>(</w:t>
      </w:r>
      <w:r w:rsidR="008124B7">
        <w:rPr>
          <w:rFonts w:ascii="Verdana" w:hAnsi="Verdana"/>
          <w:b/>
          <w:sz w:val="18"/>
          <w:szCs w:val="18"/>
        </w:rPr>
        <w:t>0</w:t>
      </w:r>
      <w:r w:rsidR="008124B7" w:rsidRPr="001342C4">
        <w:rPr>
          <w:rFonts w:ascii="Verdana" w:hAnsi="Verdana"/>
          <w:b/>
          <w:sz w:val="18"/>
          <w:szCs w:val="18"/>
        </w:rPr>
        <w:t xml:space="preserve"> pontos)</w:t>
      </w:r>
    </w:p>
    <w:p w14:paraId="1B218A50" w14:textId="77777777" w:rsidR="005D780D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14:paraId="1069C94B" w14:textId="6B817498" w:rsidR="005D780D" w:rsidRPr="005D780D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5D780D">
        <w:rPr>
          <w:rFonts w:ascii="Verdana" w:hAnsi="Verdana"/>
          <w:sz w:val="18"/>
          <w:szCs w:val="18"/>
        </w:rPr>
        <w:t xml:space="preserve">Dado que </w:t>
      </w:r>
      <w:r>
        <w:rPr>
          <w:rFonts w:ascii="Verdana" w:hAnsi="Verdana"/>
          <w:sz w:val="18"/>
          <w:szCs w:val="18"/>
        </w:rPr>
        <w:t>a</w:t>
      </w:r>
      <w:r w:rsidRPr="005D780D">
        <w:rPr>
          <w:rFonts w:ascii="Verdana" w:hAnsi="Verdana"/>
          <w:sz w:val="18"/>
          <w:szCs w:val="18"/>
        </w:rPr>
        <w:t xml:space="preserve"> promotora</w:t>
      </w:r>
      <w:r>
        <w:rPr>
          <w:rFonts w:ascii="Verdana" w:hAnsi="Verdana"/>
          <w:sz w:val="18"/>
          <w:szCs w:val="18"/>
        </w:rPr>
        <w:t xml:space="preserve"> se</w:t>
      </w:r>
      <w:r w:rsidRPr="005D780D">
        <w:rPr>
          <w:rFonts w:ascii="Verdana" w:hAnsi="Verdana"/>
          <w:sz w:val="18"/>
          <w:szCs w:val="18"/>
        </w:rPr>
        <w:t xml:space="preserve"> situa</w:t>
      </w:r>
      <w:r>
        <w:rPr>
          <w:rFonts w:ascii="Verdana" w:hAnsi="Verdana"/>
          <w:sz w:val="18"/>
          <w:szCs w:val="18"/>
        </w:rPr>
        <w:t xml:space="preserve"> n</w:t>
      </w:r>
      <w:r w:rsidRPr="005D780D">
        <w:rPr>
          <w:rFonts w:ascii="Verdana" w:hAnsi="Verdana"/>
          <w:sz w:val="18"/>
          <w:szCs w:val="18"/>
        </w:rPr>
        <w:t>outras situações</w:t>
      </w:r>
      <w:r>
        <w:rPr>
          <w:rFonts w:ascii="Verdana" w:hAnsi="Verdana"/>
          <w:sz w:val="18"/>
          <w:szCs w:val="18"/>
        </w:rPr>
        <w:t>.</w:t>
      </w:r>
    </w:p>
    <w:p w14:paraId="455C0754" w14:textId="77777777" w:rsidR="005D780D" w:rsidRPr="005D780D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5D780D">
        <w:rPr>
          <w:rFonts w:ascii="Verdana" w:hAnsi="Verdana"/>
          <w:sz w:val="18"/>
          <w:szCs w:val="18"/>
        </w:rPr>
        <w:t>Pontuação: EAF = 0 pontos</w:t>
      </w:r>
    </w:p>
    <w:p w14:paraId="76920D7C" w14:textId="77777777" w:rsidR="005D780D" w:rsidRPr="004631F7" w:rsidRDefault="005D780D" w:rsidP="00B60FD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14:paraId="5C1C446F" w14:textId="77777777" w:rsidR="005D780D" w:rsidRPr="00701CC1" w:rsidRDefault="005D780D" w:rsidP="00B60FDC">
      <w:pPr>
        <w:spacing w:line="360" w:lineRule="auto"/>
        <w:rPr>
          <w:rFonts w:ascii="Verdana" w:hAnsi="Verdana"/>
          <w:b/>
          <w:sz w:val="18"/>
          <w:szCs w:val="20"/>
        </w:rPr>
      </w:pPr>
    </w:p>
    <w:p w14:paraId="437A2FDD" w14:textId="429964C2" w:rsidR="005D780D" w:rsidRDefault="005D780D" w:rsidP="00B60FDC">
      <w:pPr>
        <w:spacing w:line="360" w:lineRule="auto"/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MAJORAÇÕES DA AJUDA </w:t>
      </w:r>
    </w:p>
    <w:p w14:paraId="11BB2C17" w14:textId="77777777" w:rsidR="00AD2587" w:rsidRPr="00701CC1" w:rsidRDefault="00AD2587" w:rsidP="00B60FDC">
      <w:pPr>
        <w:spacing w:line="360" w:lineRule="auto"/>
        <w:rPr>
          <w:rFonts w:ascii="Verdana" w:hAnsi="Verdana"/>
          <w:b/>
          <w:sz w:val="18"/>
          <w:szCs w:val="20"/>
        </w:rPr>
      </w:pPr>
    </w:p>
    <w:p w14:paraId="418B0D72" w14:textId="54971804" w:rsidR="005D780D" w:rsidRDefault="005D780D" w:rsidP="00B60FDC">
      <w:pPr>
        <w:spacing w:line="360" w:lineRule="auto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A ajuda a adotar ao investimento elegível</w:t>
      </w:r>
      <w:r w:rsidRPr="00701CC1">
        <w:rPr>
          <w:rFonts w:ascii="Verdana" w:hAnsi="Verdana"/>
          <w:sz w:val="18"/>
          <w:szCs w:val="20"/>
        </w:rPr>
        <w:t xml:space="preserve"> na presente candidatura será de</w:t>
      </w:r>
      <w:r>
        <w:rPr>
          <w:rFonts w:ascii="Verdana" w:hAnsi="Verdana"/>
          <w:sz w:val="18"/>
          <w:szCs w:val="20"/>
        </w:rPr>
        <w:t xml:space="preserve"> </w:t>
      </w:r>
      <w:r w:rsidRPr="0079695E">
        <w:rPr>
          <w:rFonts w:ascii="Verdana" w:hAnsi="Verdana"/>
          <w:b/>
          <w:bCs/>
          <w:sz w:val="18"/>
          <w:szCs w:val="20"/>
        </w:rPr>
        <w:t>60%</w:t>
      </w:r>
      <w:r w:rsidRPr="00701CC1">
        <w:rPr>
          <w:rFonts w:ascii="Verdana" w:hAnsi="Verdana"/>
          <w:sz w:val="18"/>
          <w:szCs w:val="20"/>
        </w:rPr>
        <w:t xml:space="preserve">, que resultará da aplicação das seguintes majorações: </w:t>
      </w:r>
    </w:p>
    <w:p w14:paraId="43812AFE" w14:textId="77777777" w:rsidR="00AD2587" w:rsidRPr="00701CC1" w:rsidRDefault="00AD2587" w:rsidP="00B60FDC">
      <w:pPr>
        <w:spacing w:line="360" w:lineRule="auto"/>
        <w:rPr>
          <w:rFonts w:ascii="Verdana" w:hAnsi="Verdana"/>
          <w:sz w:val="18"/>
          <w:szCs w:val="20"/>
        </w:rPr>
      </w:pPr>
    </w:p>
    <w:p w14:paraId="0E8FB84B" w14:textId="4D5B2E6F" w:rsidR="005D780D" w:rsidRDefault="005D780D" w:rsidP="00B60FDC">
      <w:pPr>
        <w:spacing w:line="360" w:lineRule="auto"/>
        <w:rPr>
          <w:rFonts w:ascii="Verdana" w:hAnsi="Verdana"/>
          <w:b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Taxa Base</w:t>
      </w:r>
    </w:p>
    <w:p w14:paraId="3E114233" w14:textId="77777777" w:rsidR="00AD2587" w:rsidRPr="001342C4" w:rsidRDefault="00AD2587" w:rsidP="00B60FDC">
      <w:pPr>
        <w:spacing w:line="360" w:lineRule="auto"/>
        <w:rPr>
          <w:rFonts w:ascii="Verdana" w:hAnsi="Verdana"/>
          <w:b/>
          <w:sz w:val="18"/>
          <w:szCs w:val="18"/>
        </w:rPr>
      </w:pPr>
    </w:p>
    <w:p w14:paraId="3A9DBB9C" w14:textId="5BA219C2" w:rsidR="005D780D" w:rsidRPr="001342C4" w:rsidRDefault="005D780D" w:rsidP="00B60FDC">
      <w:pPr>
        <w:spacing w:line="36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79695E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50%</w:t>
      </w:r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do investimento elegível se a exploração se situar em região menos desenvolvida ou zona com condicionantes</w:t>
      </w:r>
      <w:r w:rsidR="0079695E">
        <w:rPr>
          <w:rFonts w:ascii="Verdana" w:hAnsi="Verdana"/>
          <w:color w:val="000000"/>
          <w:sz w:val="18"/>
          <w:szCs w:val="18"/>
          <w:shd w:val="clear" w:color="auto" w:fill="FFFFFF"/>
        </w:rPr>
        <w:t>.</w:t>
      </w:r>
    </w:p>
    <w:p w14:paraId="50332983" w14:textId="5D11B18C" w:rsidR="005D780D" w:rsidRPr="001342C4" w:rsidRDefault="005D780D" w:rsidP="00B60FDC">
      <w:pPr>
        <w:shd w:val="clear" w:color="auto" w:fill="FFFFFF"/>
        <w:spacing w:before="0" w:after="0" w:line="360" w:lineRule="auto"/>
        <w:jc w:val="left"/>
        <w:textAlignment w:val="baseline"/>
        <w:rPr>
          <w:rFonts w:ascii="Verdana" w:hAnsi="Verdana"/>
          <w:sz w:val="18"/>
          <w:szCs w:val="18"/>
        </w:rPr>
      </w:pPr>
      <w:r w:rsidRPr="00562DBF">
        <w:rPr>
          <w:rFonts w:ascii="Verdana" w:hAnsi="Verdana"/>
          <w:b/>
          <w:sz w:val="18"/>
          <w:szCs w:val="18"/>
        </w:rPr>
        <w:t xml:space="preserve">Majoração </w:t>
      </w:r>
      <w:r w:rsidRPr="00562DBF">
        <w:rPr>
          <w:rFonts w:ascii="Verdana" w:hAnsi="Verdana"/>
          <w:b/>
          <w:color w:val="000000"/>
          <w:sz w:val="18"/>
          <w:szCs w:val="18"/>
          <w:bdr w:val="none" w:sz="0" w:space="0" w:color="auto" w:frame="1"/>
        </w:rPr>
        <w:t xml:space="preserve">10 </w:t>
      </w:r>
      <w:proofErr w:type="spellStart"/>
      <w:r w:rsidRPr="00562DBF">
        <w:rPr>
          <w:rFonts w:ascii="Verdana" w:hAnsi="Verdana"/>
          <w:b/>
          <w:color w:val="000000"/>
          <w:sz w:val="18"/>
          <w:szCs w:val="18"/>
          <w:bdr w:val="none" w:sz="0" w:space="0" w:color="auto" w:frame="1"/>
        </w:rPr>
        <w:t>p.p</w:t>
      </w:r>
      <w:proofErr w:type="spellEnd"/>
      <w:r w:rsidRPr="001342C4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, nos apoios </w:t>
      </w:r>
      <w:proofErr w:type="spellStart"/>
      <w:r w:rsidR="0079695E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Next</w:t>
      </w:r>
      <w:proofErr w:type="spellEnd"/>
      <w:r w:rsidR="0079695E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 w:rsidR="0079695E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Generation</w:t>
      </w:r>
      <w:proofErr w:type="spellEnd"/>
      <w:r w:rsidR="0079695E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em Territórios não Vulneráveis.</w:t>
      </w:r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</w:t>
      </w:r>
    </w:p>
    <w:p w14:paraId="55CC5843" w14:textId="77777777" w:rsidR="005D780D" w:rsidRPr="000846AF" w:rsidRDefault="005D780D" w:rsidP="00B60FDC">
      <w:pPr>
        <w:spacing w:line="360" w:lineRule="auto"/>
      </w:pPr>
    </w:p>
    <w:p w14:paraId="7917557D" w14:textId="77777777" w:rsidR="005D780D" w:rsidRPr="00A72699" w:rsidRDefault="005D780D" w:rsidP="00B60FDC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20945A97" w14:textId="65437990" w:rsidR="00064C74" w:rsidRPr="00407079" w:rsidRDefault="00064C74" w:rsidP="00B60FDC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FF0000"/>
          <w:szCs w:val="20"/>
        </w:rPr>
      </w:pPr>
    </w:p>
    <w:sectPr w:rsidR="00064C74" w:rsidRPr="00407079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51F42" w14:textId="77777777" w:rsidR="005571DD" w:rsidRDefault="005571DD" w:rsidP="00F06FBC">
      <w:pPr>
        <w:spacing w:before="0" w:after="0"/>
      </w:pPr>
      <w:r>
        <w:separator/>
      </w:r>
    </w:p>
  </w:endnote>
  <w:endnote w:type="continuationSeparator" w:id="0">
    <w:p w14:paraId="288EC845" w14:textId="77777777" w:rsidR="005571DD" w:rsidRDefault="005571DD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4F04A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1079EF" wp14:editId="1E2286A4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1DAF1" w14:textId="77777777" w:rsidR="005571DD" w:rsidRDefault="005571DD" w:rsidP="00F06FBC">
      <w:pPr>
        <w:spacing w:before="0" w:after="0"/>
      </w:pPr>
      <w:r>
        <w:separator/>
      </w:r>
    </w:p>
  </w:footnote>
  <w:footnote w:type="continuationSeparator" w:id="0">
    <w:p w14:paraId="22F58965" w14:textId="77777777" w:rsidR="005571DD" w:rsidRDefault="005571DD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F8D86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9D7F52" wp14:editId="1B2A3D1D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3E775096" wp14:editId="025B562D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05059AFF" wp14:editId="4317E747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F2FC3"/>
    <w:multiLevelType w:val="hybridMultilevel"/>
    <w:tmpl w:val="F8847C50"/>
    <w:lvl w:ilvl="0" w:tplc="64349402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F5715"/>
    <w:multiLevelType w:val="hybridMultilevel"/>
    <w:tmpl w:val="1E3E8FAA"/>
    <w:lvl w:ilvl="0" w:tplc="64349402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764E8C"/>
    <w:multiLevelType w:val="hybridMultilevel"/>
    <w:tmpl w:val="19A8C72E"/>
    <w:lvl w:ilvl="0" w:tplc="EBD6F1D0">
      <w:numFmt w:val="bullet"/>
      <w:lvlText w:val="-"/>
      <w:lvlJc w:val="left"/>
      <w:pPr>
        <w:ind w:left="119" w:hanging="226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pt-PT" w:eastAsia="en-US" w:bidi="ar-SA"/>
      </w:rPr>
    </w:lvl>
    <w:lvl w:ilvl="1" w:tplc="432EB002">
      <w:numFmt w:val="bullet"/>
      <w:lvlText w:val="•"/>
      <w:lvlJc w:val="left"/>
      <w:pPr>
        <w:ind w:left="982" w:hanging="226"/>
      </w:pPr>
      <w:rPr>
        <w:rFonts w:hint="default"/>
        <w:lang w:val="pt-PT" w:eastAsia="en-US" w:bidi="ar-SA"/>
      </w:rPr>
    </w:lvl>
    <w:lvl w:ilvl="2" w:tplc="F124B7D6">
      <w:numFmt w:val="bullet"/>
      <w:lvlText w:val="•"/>
      <w:lvlJc w:val="left"/>
      <w:pPr>
        <w:ind w:left="1844" w:hanging="226"/>
      </w:pPr>
      <w:rPr>
        <w:rFonts w:hint="default"/>
        <w:lang w:val="pt-PT" w:eastAsia="en-US" w:bidi="ar-SA"/>
      </w:rPr>
    </w:lvl>
    <w:lvl w:ilvl="3" w:tplc="0520D446">
      <w:numFmt w:val="bullet"/>
      <w:lvlText w:val="•"/>
      <w:lvlJc w:val="left"/>
      <w:pPr>
        <w:ind w:left="2706" w:hanging="226"/>
      </w:pPr>
      <w:rPr>
        <w:rFonts w:hint="default"/>
        <w:lang w:val="pt-PT" w:eastAsia="en-US" w:bidi="ar-SA"/>
      </w:rPr>
    </w:lvl>
    <w:lvl w:ilvl="4" w:tplc="162E348E">
      <w:numFmt w:val="bullet"/>
      <w:lvlText w:val="•"/>
      <w:lvlJc w:val="left"/>
      <w:pPr>
        <w:ind w:left="3568" w:hanging="226"/>
      </w:pPr>
      <w:rPr>
        <w:rFonts w:hint="default"/>
        <w:lang w:val="pt-PT" w:eastAsia="en-US" w:bidi="ar-SA"/>
      </w:rPr>
    </w:lvl>
    <w:lvl w:ilvl="5" w:tplc="80049638">
      <w:numFmt w:val="bullet"/>
      <w:lvlText w:val="•"/>
      <w:lvlJc w:val="left"/>
      <w:pPr>
        <w:ind w:left="4430" w:hanging="226"/>
      </w:pPr>
      <w:rPr>
        <w:rFonts w:hint="default"/>
        <w:lang w:val="pt-PT" w:eastAsia="en-US" w:bidi="ar-SA"/>
      </w:rPr>
    </w:lvl>
    <w:lvl w:ilvl="6" w:tplc="7ECE48D6">
      <w:numFmt w:val="bullet"/>
      <w:lvlText w:val="•"/>
      <w:lvlJc w:val="left"/>
      <w:pPr>
        <w:ind w:left="5292" w:hanging="226"/>
      </w:pPr>
      <w:rPr>
        <w:rFonts w:hint="default"/>
        <w:lang w:val="pt-PT" w:eastAsia="en-US" w:bidi="ar-SA"/>
      </w:rPr>
    </w:lvl>
    <w:lvl w:ilvl="7" w:tplc="981E1D64">
      <w:numFmt w:val="bullet"/>
      <w:lvlText w:val="•"/>
      <w:lvlJc w:val="left"/>
      <w:pPr>
        <w:ind w:left="6154" w:hanging="226"/>
      </w:pPr>
      <w:rPr>
        <w:rFonts w:hint="default"/>
        <w:lang w:val="pt-PT" w:eastAsia="en-US" w:bidi="ar-SA"/>
      </w:rPr>
    </w:lvl>
    <w:lvl w:ilvl="8" w:tplc="C66EDD76">
      <w:numFmt w:val="bullet"/>
      <w:lvlText w:val="•"/>
      <w:lvlJc w:val="left"/>
      <w:pPr>
        <w:ind w:left="7016" w:hanging="226"/>
      </w:pPr>
      <w:rPr>
        <w:rFonts w:hint="default"/>
        <w:lang w:val="pt-PT" w:eastAsia="en-US" w:bidi="ar-SA"/>
      </w:rPr>
    </w:lvl>
  </w:abstractNum>
  <w:abstractNum w:abstractNumId="6" w15:restartNumberingAfterBreak="0">
    <w:nsid w:val="49F1540F"/>
    <w:multiLevelType w:val="hybridMultilevel"/>
    <w:tmpl w:val="202C9532"/>
    <w:lvl w:ilvl="0" w:tplc="1E086398">
      <w:numFmt w:val="bullet"/>
      <w:lvlText w:val="-"/>
      <w:lvlJc w:val="left"/>
      <w:pPr>
        <w:ind w:left="119" w:hanging="135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pt-PT" w:eastAsia="en-US" w:bidi="ar-SA"/>
      </w:rPr>
    </w:lvl>
    <w:lvl w:ilvl="1" w:tplc="3F749242">
      <w:numFmt w:val="bullet"/>
      <w:lvlText w:val="•"/>
      <w:lvlJc w:val="left"/>
      <w:pPr>
        <w:ind w:left="982" w:hanging="135"/>
      </w:pPr>
      <w:rPr>
        <w:rFonts w:hint="default"/>
        <w:lang w:val="pt-PT" w:eastAsia="en-US" w:bidi="ar-SA"/>
      </w:rPr>
    </w:lvl>
    <w:lvl w:ilvl="2" w:tplc="59A20B8E">
      <w:numFmt w:val="bullet"/>
      <w:lvlText w:val="•"/>
      <w:lvlJc w:val="left"/>
      <w:pPr>
        <w:ind w:left="1844" w:hanging="135"/>
      </w:pPr>
      <w:rPr>
        <w:rFonts w:hint="default"/>
        <w:lang w:val="pt-PT" w:eastAsia="en-US" w:bidi="ar-SA"/>
      </w:rPr>
    </w:lvl>
    <w:lvl w:ilvl="3" w:tplc="BF5CC076">
      <w:numFmt w:val="bullet"/>
      <w:lvlText w:val="•"/>
      <w:lvlJc w:val="left"/>
      <w:pPr>
        <w:ind w:left="2706" w:hanging="135"/>
      </w:pPr>
      <w:rPr>
        <w:rFonts w:hint="default"/>
        <w:lang w:val="pt-PT" w:eastAsia="en-US" w:bidi="ar-SA"/>
      </w:rPr>
    </w:lvl>
    <w:lvl w:ilvl="4" w:tplc="E69A42F6">
      <w:numFmt w:val="bullet"/>
      <w:lvlText w:val="•"/>
      <w:lvlJc w:val="left"/>
      <w:pPr>
        <w:ind w:left="3568" w:hanging="135"/>
      </w:pPr>
      <w:rPr>
        <w:rFonts w:hint="default"/>
        <w:lang w:val="pt-PT" w:eastAsia="en-US" w:bidi="ar-SA"/>
      </w:rPr>
    </w:lvl>
    <w:lvl w:ilvl="5" w:tplc="504ABC02">
      <w:numFmt w:val="bullet"/>
      <w:lvlText w:val="•"/>
      <w:lvlJc w:val="left"/>
      <w:pPr>
        <w:ind w:left="4430" w:hanging="135"/>
      </w:pPr>
      <w:rPr>
        <w:rFonts w:hint="default"/>
        <w:lang w:val="pt-PT" w:eastAsia="en-US" w:bidi="ar-SA"/>
      </w:rPr>
    </w:lvl>
    <w:lvl w:ilvl="6" w:tplc="44C23A40">
      <w:numFmt w:val="bullet"/>
      <w:lvlText w:val="•"/>
      <w:lvlJc w:val="left"/>
      <w:pPr>
        <w:ind w:left="5292" w:hanging="135"/>
      </w:pPr>
      <w:rPr>
        <w:rFonts w:hint="default"/>
        <w:lang w:val="pt-PT" w:eastAsia="en-US" w:bidi="ar-SA"/>
      </w:rPr>
    </w:lvl>
    <w:lvl w:ilvl="7" w:tplc="0B8EA200">
      <w:numFmt w:val="bullet"/>
      <w:lvlText w:val="•"/>
      <w:lvlJc w:val="left"/>
      <w:pPr>
        <w:ind w:left="6154" w:hanging="135"/>
      </w:pPr>
      <w:rPr>
        <w:rFonts w:hint="default"/>
        <w:lang w:val="pt-PT" w:eastAsia="en-US" w:bidi="ar-SA"/>
      </w:rPr>
    </w:lvl>
    <w:lvl w:ilvl="8" w:tplc="63DEBE72">
      <w:numFmt w:val="bullet"/>
      <w:lvlText w:val="•"/>
      <w:lvlJc w:val="left"/>
      <w:pPr>
        <w:ind w:left="7016" w:hanging="135"/>
      </w:pPr>
      <w:rPr>
        <w:rFonts w:hint="default"/>
        <w:lang w:val="pt-PT" w:eastAsia="en-US" w:bidi="ar-SA"/>
      </w:rPr>
    </w:lvl>
  </w:abstractNum>
  <w:abstractNum w:abstractNumId="7" w15:restartNumberingAfterBreak="0">
    <w:nsid w:val="4DB67D4A"/>
    <w:multiLevelType w:val="hybridMultilevel"/>
    <w:tmpl w:val="B60464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E53731"/>
    <w:multiLevelType w:val="hybridMultilevel"/>
    <w:tmpl w:val="227427DC"/>
    <w:lvl w:ilvl="0" w:tplc="A90A7568">
      <w:numFmt w:val="bullet"/>
      <w:lvlText w:val="-"/>
      <w:lvlJc w:val="left"/>
      <w:pPr>
        <w:ind w:left="119" w:hanging="144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pt-PT" w:eastAsia="en-US" w:bidi="ar-SA"/>
      </w:rPr>
    </w:lvl>
    <w:lvl w:ilvl="1" w:tplc="942830DA">
      <w:numFmt w:val="bullet"/>
      <w:lvlText w:val="•"/>
      <w:lvlJc w:val="left"/>
      <w:pPr>
        <w:ind w:left="982" w:hanging="144"/>
      </w:pPr>
      <w:rPr>
        <w:rFonts w:hint="default"/>
        <w:lang w:val="pt-PT" w:eastAsia="en-US" w:bidi="ar-SA"/>
      </w:rPr>
    </w:lvl>
    <w:lvl w:ilvl="2" w:tplc="91F4D53E">
      <w:numFmt w:val="bullet"/>
      <w:lvlText w:val="•"/>
      <w:lvlJc w:val="left"/>
      <w:pPr>
        <w:ind w:left="1844" w:hanging="144"/>
      </w:pPr>
      <w:rPr>
        <w:rFonts w:hint="default"/>
        <w:lang w:val="pt-PT" w:eastAsia="en-US" w:bidi="ar-SA"/>
      </w:rPr>
    </w:lvl>
    <w:lvl w:ilvl="3" w:tplc="5B02BEC2">
      <w:numFmt w:val="bullet"/>
      <w:lvlText w:val="•"/>
      <w:lvlJc w:val="left"/>
      <w:pPr>
        <w:ind w:left="2706" w:hanging="144"/>
      </w:pPr>
      <w:rPr>
        <w:rFonts w:hint="default"/>
        <w:lang w:val="pt-PT" w:eastAsia="en-US" w:bidi="ar-SA"/>
      </w:rPr>
    </w:lvl>
    <w:lvl w:ilvl="4" w:tplc="A01CF7DC">
      <w:numFmt w:val="bullet"/>
      <w:lvlText w:val="•"/>
      <w:lvlJc w:val="left"/>
      <w:pPr>
        <w:ind w:left="3568" w:hanging="144"/>
      </w:pPr>
      <w:rPr>
        <w:rFonts w:hint="default"/>
        <w:lang w:val="pt-PT" w:eastAsia="en-US" w:bidi="ar-SA"/>
      </w:rPr>
    </w:lvl>
    <w:lvl w:ilvl="5" w:tplc="64F46BF8">
      <w:numFmt w:val="bullet"/>
      <w:lvlText w:val="•"/>
      <w:lvlJc w:val="left"/>
      <w:pPr>
        <w:ind w:left="4430" w:hanging="144"/>
      </w:pPr>
      <w:rPr>
        <w:rFonts w:hint="default"/>
        <w:lang w:val="pt-PT" w:eastAsia="en-US" w:bidi="ar-SA"/>
      </w:rPr>
    </w:lvl>
    <w:lvl w:ilvl="6" w:tplc="917238E6">
      <w:numFmt w:val="bullet"/>
      <w:lvlText w:val="•"/>
      <w:lvlJc w:val="left"/>
      <w:pPr>
        <w:ind w:left="5292" w:hanging="144"/>
      </w:pPr>
      <w:rPr>
        <w:rFonts w:hint="default"/>
        <w:lang w:val="pt-PT" w:eastAsia="en-US" w:bidi="ar-SA"/>
      </w:rPr>
    </w:lvl>
    <w:lvl w:ilvl="7" w:tplc="400678DA">
      <w:numFmt w:val="bullet"/>
      <w:lvlText w:val="•"/>
      <w:lvlJc w:val="left"/>
      <w:pPr>
        <w:ind w:left="6154" w:hanging="144"/>
      </w:pPr>
      <w:rPr>
        <w:rFonts w:hint="default"/>
        <w:lang w:val="pt-PT" w:eastAsia="en-US" w:bidi="ar-SA"/>
      </w:rPr>
    </w:lvl>
    <w:lvl w:ilvl="8" w:tplc="ADC6186E">
      <w:numFmt w:val="bullet"/>
      <w:lvlText w:val="•"/>
      <w:lvlJc w:val="left"/>
      <w:pPr>
        <w:ind w:left="7016" w:hanging="144"/>
      </w:pPr>
      <w:rPr>
        <w:rFonts w:hint="default"/>
        <w:lang w:val="pt-PT" w:eastAsia="en-US" w:bidi="ar-SA"/>
      </w:rPr>
    </w:lvl>
  </w:abstractNum>
  <w:abstractNum w:abstractNumId="9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451677280">
    <w:abstractNumId w:val="9"/>
  </w:num>
  <w:num w:numId="2" w16cid:durableId="861436509">
    <w:abstractNumId w:val="9"/>
  </w:num>
  <w:num w:numId="3" w16cid:durableId="773793536">
    <w:abstractNumId w:val="9"/>
  </w:num>
  <w:num w:numId="4" w16cid:durableId="2137218564">
    <w:abstractNumId w:val="9"/>
  </w:num>
  <w:num w:numId="5" w16cid:durableId="1486971959">
    <w:abstractNumId w:val="9"/>
  </w:num>
  <w:num w:numId="6" w16cid:durableId="690254587">
    <w:abstractNumId w:val="9"/>
  </w:num>
  <w:num w:numId="7" w16cid:durableId="1686903549">
    <w:abstractNumId w:val="9"/>
  </w:num>
  <w:num w:numId="8" w16cid:durableId="1556117353">
    <w:abstractNumId w:val="9"/>
  </w:num>
  <w:num w:numId="9" w16cid:durableId="465857717">
    <w:abstractNumId w:val="0"/>
  </w:num>
  <w:num w:numId="10" w16cid:durableId="668875662">
    <w:abstractNumId w:val="0"/>
  </w:num>
  <w:num w:numId="11" w16cid:durableId="1290936125">
    <w:abstractNumId w:val="4"/>
  </w:num>
  <w:num w:numId="12" w16cid:durableId="13765467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10098064">
    <w:abstractNumId w:val="4"/>
    <w:lvlOverride w:ilvl="0">
      <w:startOverride w:val="10"/>
    </w:lvlOverride>
  </w:num>
  <w:num w:numId="14" w16cid:durableId="1985085712">
    <w:abstractNumId w:val="2"/>
  </w:num>
  <w:num w:numId="15" w16cid:durableId="1785298035">
    <w:abstractNumId w:val="3"/>
  </w:num>
  <w:num w:numId="16" w16cid:durableId="1923097417">
    <w:abstractNumId w:val="1"/>
  </w:num>
  <w:num w:numId="17" w16cid:durableId="135921730">
    <w:abstractNumId w:val="6"/>
  </w:num>
  <w:num w:numId="18" w16cid:durableId="13961326">
    <w:abstractNumId w:val="8"/>
  </w:num>
  <w:num w:numId="19" w16cid:durableId="297493928">
    <w:abstractNumId w:val="5"/>
  </w:num>
  <w:num w:numId="20" w16cid:durableId="290138409">
    <w:abstractNumId w:val="7"/>
  </w:num>
  <w:num w:numId="21" w16cid:durableId="755442767">
    <w:abstractNumId w:val="9"/>
  </w:num>
  <w:num w:numId="22" w16cid:durableId="85612552">
    <w:abstractNumId w:val="9"/>
  </w:num>
  <w:num w:numId="23" w16cid:durableId="2045864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332D2"/>
    <w:rsid w:val="00036741"/>
    <w:rsid w:val="00053014"/>
    <w:rsid w:val="00064C74"/>
    <w:rsid w:val="000D6160"/>
    <w:rsid w:val="000F533F"/>
    <w:rsid w:val="001200B9"/>
    <w:rsid w:val="0015249F"/>
    <w:rsid w:val="00163E75"/>
    <w:rsid w:val="001A2922"/>
    <w:rsid w:val="001B581E"/>
    <w:rsid w:val="001C5950"/>
    <w:rsid w:val="00217D99"/>
    <w:rsid w:val="0025736E"/>
    <w:rsid w:val="00285A9F"/>
    <w:rsid w:val="002A6A7D"/>
    <w:rsid w:val="003317D5"/>
    <w:rsid w:val="00370A7C"/>
    <w:rsid w:val="003A3F43"/>
    <w:rsid w:val="003D7E91"/>
    <w:rsid w:val="003F671D"/>
    <w:rsid w:val="004018AF"/>
    <w:rsid w:val="00407079"/>
    <w:rsid w:val="004B5C37"/>
    <w:rsid w:val="004F4645"/>
    <w:rsid w:val="00500AF7"/>
    <w:rsid w:val="005233EA"/>
    <w:rsid w:val="005571DD"/>
    <w:rsid w:val="0055738D"/>
    <w:rsid w:val="005752BA"/>
    <w:rsid w:val="005B42E7"/>
    <w:rsid w:val="005D3F93"/>
    <w:rsid w:val="005D780D"/>
    <w:rsid w:val="005F76CA"/>
    <w:rsid w:val="0061341E"/>
    <w:rsid w:val="00621D1C"/>
    <w:rsid w:val="00665755"/>
    <w:rsid w:val="00683D69"/>
    <w:rsid w:val="00684173"/>
    <w:rsid w:val="006867A2"/>
    <w:rsid w:val="00687A08"/>
    <w:rsid w:val="006B1F5D"/>
    <w:rsid w:val="006D34DB"/>
    <w:rsid w:val="00780B02"/>
    <w:rsid w:val="0079695E"/>
    <w:rsid w:val="007A6145"/>
    <w:rsid w:val="00803B2C"/>
    <w:rsid w:val="0080650D"/>
    <w:rsid w:val="008124B7"/>
    <w:rsid w:val="00850763"/>
    <w:rsid w:val="008844E1"/>
    <w:rsid w:val="008954B6"/>
    <w:rsid w:val="008A10AF"/>
    <w:rsid w:val="009023D6"/>
    <w:rsid w:val="00905059"/>
    <w:rsid w:val="00911EA8"/>
    <w:rsid w:val="0094390A"/>
    <w:rsid w:val="00954279"/>
    <w:rsid w:val="00964718"/>
    <w:rsid w:val="00986629"/>
    <w:rsid w:val="00991017"/>
    <w:rsid w:val="00992656"/>
    <w:rsid w:val="009A1258"/>
    <w:rsid w:val="009C3AA2"/>
    <w:rsid w:val="009E4DA9"/>
    <w:rsid w:val="00A03D51"/>
    <w:rsid w:val="00A27D04"/>
    <w:rsid w:val="00A72699"/>
    <w:rsid w:val="00A923CB"/>
    <w:rsid w:val="00AA02A6"/>
    <w:rsid w:val="00AA4E20"/>
    <w:rsid w:val="00AD2587"/>
    <w:rsid w:val="00AD3D9C"/>
    <w:rsid w:val="00AD5684"/>
    <w:rsid w:val="00AE13E0"/>
    <w:rsid w:val="00B012CF"/>
    <w:rsid w:val="00B054D0"/>
    <w:rsid w:val="00B227DE"/>
    <w:rsid w:val="00B60FDC"/>
    <w:rsid w:val="00B649CD"/>
    <w:rsid w:val="00B8491F"/>
    <w:rsid w:val="00BB54BA"/>
    <w:rsid w:val="00BF139A"/>
    <w:rsid w:val="00BF2B30"/>
    <w:rsid w:val="00BF4F7D"/>
    <w:rsid w:val="00C1254F"/>
    <w:rsid w:val="00C414DD"/>
    <w:rsid w:val="00C415A4"/>
    <w:rsid w:val="00C77156"/>
    <w:rsid w:val="00CF6F25"/>
    <w:rsid w:val="00D2093B"/>
    <w:rsid w:val="00D20A88"/>
    <w:rsid w:val="00D62FE6"/>
    <w:rsid w:val="00D649F2"/>
    <w:rsid w:val="00D66E8A"/>
    <w:rsid w:val="00D90B2B"/>
    <w:rsid w:val="00DA157B"/>
    <w:rsid w:val="00DA4ABB"/>
    <w:rsid w:val="00DC613E"/>
    <w:rsid w:val="00DD22E9"/>
    <w:rsid w:val="00DD7B94"/>
    <w:rsid w:val="00DF7921"/>
    <w:rsid w:val="00E63C19"/>
    <w:rsid w:val="00E67DCF"/>
    <w:rsid w:val="00E712AB"/>
    <w:rsid w:val="00E7765D"/>
    <w:rsid w:val="00ED239F"/>
    <w:rsid w:val="00EE10F0"/>
    <w:rsid w:val="00EF37E9"/>
    <w:rsid w:val="00F06FBC"/>
    <w:rsid w:val="00F141A3"/>
    <w:rsid w:val="00F16AF8"/>
    <w:rsid w:val="00F17852"/>
    <w:rsid w:val="00F23307"/>
    <w:rsid w:val="00F3384F"/>
    <w:rsid w:val="00F57069"/>
    <w:rsid w:val="00F8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C43DF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1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paragraph" w:styleId="Corpodetexto">
    <w:name w:val="Body Text"/>
    <w:basedOn w:val="Normal"/>
    <w:link w:val="CorpodetextoCarter"/>
    <w:uiPriority w:val="1"/>
    <w:qFormat/>
    <w:rsid w:val="00B60FDC"/>
    <w:pPr>
      <w:widowControl w:val="0"/>
      <w:autoSpaceDE w:val="0"/>
      <w:autoSpaceDN w:val="0"/>
      <w:spacing w:before="0" w:after="0"/>
      <w:ind w:left="119"/>
      <w:jc w:val="left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60FDC"/>
    <w:rPr>
      <w:rFonts w:ascii="Microsoft Sans Serif" w:eastAsia="Microsoft Sans Serif" w:hAnsi="Microsoft Sans Serif" w:cs="Microsoft Sans Seri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1814</Words>
  <Characters>9796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50</cp:revision>
  <cp:lastPrinted>2022-06-06T15:05:00Z</cp:lastPrinted>
  <dcterms:created xsi:type="dcterms:W3CDTF">2022-03-18T12:06:00Z</dcterms:created>
  <dcterms:modified xsi:type="dcterms:W3CDTF">2022-06-06T15:29:00Z</dcterms:modified>
</cp:coreProperties>
</file>