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Complication Prevention Alone Will Not Close the Frailty Mortality Gap After Pancreaticoduodenectomy: A Causal Mediation Analysis of the Rescue Pathway</w:t>
      </w:r>
    </w:p>
    <w:p>
      <w:r>
        <w:rPr>
          <w:i/>
        </w:rPr>
        <w:t>Mirza B, Khreiss M, Luu T, Mesropyan L, Riall TS, Jehan F</w:t>
      </w:r>
    </w:p>
    <w:p/>
    <w:p>
      <w:r>
        <w:rPr>
          <w:b/>
        </w:rPr>
        <w:t xml:space="preserve">Introduction: </w:t>
      </w:r>
      <w:r>
        <w:t>Frailty is an established predictor of death after pancreaticoduodenectomy, and quality improvement has responded largely by targeting complication prevention. Whether that strategy can close the frailty mortality gap depends on an unresolved question: do frail patients die because they develop more complications, or because they are less likely to survive the complications they develop? Failure to rescue, defined as death after a major complication, isolates the second pathway. We decomposed frailty-associated mortality after pancreaticoduodenectomy into the complication pathway and the rescue pathway to determine which carries the effect.</w:t>
      </w:r>
    </w:p>
    <w:p>
      <w:r>
        <w:rPr>
          <w:b/>
        </w:rPr>
        <w:t xml:space="preserve">Methods: </w:t>
      </w:r>
      <w:r>
        <w:t>We analyzed the ACS-NSQIP Procedure-Targeted Pancreatectomy Participant Use File (2020-2024). Pancreaticoduodenectomy was identified by CPT code (n=24,199). Frailty was defined as a 5-item modified frailty index (mFI-5) of 2 or greater. The outcome was 30-day mortality and the mediator any major complication; failure to rescue was death after a major complication. Effects were decomposed into natural indirect (complication) and natural direct (rescue) components by g-computation with an exposure by mediator interaction and 1,000 bootstrap replications, adjusted for age, sex, self-reported race and ethnicity, body mass index, American Society of Anesthesiologists class, albumin, bilirubin, preoperative sepsis, disseminated cancer, and operative year. A four-way decomposition and E-values were computed; the primary analysis was prespecified in adults 65 years or older.</w:t>
      </w:r>
    </w:p>
    <w:p>
      <w:r>
        <w:rPr>
          <w:b/>
        </w:rPr>
        <w:t xml:space="preserve">Results: </w:t>
      </w:r>
      <w:r>
        <w:t>Among 24,199 patients, 5,680 (23.5%) were frail, 9,538 (39.4%) developed a major complication, and 431 (1.78%) died within 30 days. Across the frailty gradient, major complications rose by 22% in relative terms (36.2%, 39.8%, and 44.0% for mFI-5 of 0, 1, and 2 or greater) while failure to rescue rose by 65% (3.1%, 4.8%, and 5.1%). In the primary analysis among adults 65 years or older (n=14,759; 333 deaths), frail patients both developed more complications (44.9% vs 38.7%) and were less often rescued from them (5.8% vs 5.0%); frailty increased 30-day mortality by 0.61 percentage points (pp) (95% CI, 0.11 to 1.16; total-effect OR 1.29, 95% CI 1.04-1.63; E-value 1.91). Despite the higher complication burden, only 32% of this excess mortality was transmitted through complication occurrence (natural indirect effect, 0.20 pp; 95% CI, 0.11 to 0.30); the remaining 68% acted directly (natural direct effect, 0.42 pp; 95% CI, -0.06 to 0.92). Four-way decomposition localized the effect to a controlled direct effect of 0.378 pp (95% CI, 0.110 to 0.711) with a smaller pure indirect effect (0.195 pp; 95% CI, 0.110 to 0.284) and null reference and mediated interactions, indicating that frailty and complications acted additively rather than synergistically. Frail patients died more often from the same complication, including organ or space surgical site infection (4.0% vs 2.8%), which affected 17.8% of the cohort, and reoperation (13.0% vs 11.2%). Excluding isolated transfusion from the composite, 97% of the effect acted directly (0.57 pp; 95% CI, 0.03 to 1.12). Frailty conferred no measurable mortality effect below age 65 (-0.05 pp; 95% CI, -0.56 to 0.59).</w:t>
      </w:r>
    </w:p>
    <w:p>
      <w:r>
        <w:rPr>
          <w:b/>
        </w:rPr>
        <w:t xml:space="preserve">Conclusions: </w:t>
      </w:r>
      <w:r>
        <w:t>Among older adults undergoing pancreaticoduodenectomy, most of the mortality associated with frailty did not flow through the occurrence of complications and persisted when complication occurrence was held constant. Complication prevention alone is therefore unlikely to close the frailty mortality gap, which was confined to patients 65 years or older. These findings support pairing preoperative frailty screening with rescue-directed care in older frail patients: a lower threshold for cross-sectional imaging and source control when intra-abdominal infection is suspected, and earlier critical-care transfer for respiratory deterioration, which carried a case-fatality above 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