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The Rescue Gap: Frailty-Associated Mortality After Pancreaticoduodenectomy Reflects Failure to Rescue More Than Complication Occurrence</w:t>
      </w:r>
    </w:p>
    <w:p>
      <w:r>
        <w:rPr>
          <w:i/>
        </w:rPr>
        <w:t>Mirza B, Khreiss M, Luu T, Mesropyan L, Riall TS, Jehan F</w:t>
      </w:r>
    </w:p>
    <w:p/>
    <w:p>
      <w:r>
        <w:rPr>
          <w:b/>
        </w:rPr>
        <w:t xml:space="preserve">Introduction: </w:t>
      </w:r>
      <w:r>
        <w:t>Frailty is an established predictor of mortality after pancreaticoduodenectomy, yet the mechanism underlying that excess mortality remains undefined. Frail patients may die more often because they develop more complications, or because they are less able to survive the complications they develop. Failure to rescue, defined as death following a major complication, isolates the second mechanism and reflects the management of complications rather than their incidence. We assessed whether frailty-associated mortality after pancreaticoduodenectomy is transmitted through increased complication occurrence or through failure to rescue.</w:t>
      </w:r>
    </w:p>
    <w:p>
      <w:r>
        <w:rPr>
          <w:b/>
        </w:rPr>
        <w:t xml:space="preserve">Methods: </w:t>
      </w:r>
      <w:r>
        <w:t>We conducted a retrospective cohort study using the ACS-NSQIP Procedure-Targeted Pancreatectomy Participant Use File (2020-2024). Pancreaticoduodenectomy was identified by CPT code (n=24,199). Frailty was defined as a 5-item modified frailty index (mFI-5) of 2 or greater. The outcome was 30-day mortality; the mediator was any major complication; failure to rescue was death after a major complication. Natural indirect (complication) and natural direct (failure-to-rescue) effects were estimated by g-computation with an exposure by mediator interaction and 1,000 bootstrap replications, adjusted for age, sex, self-reported race and ethnicity, body mass index, American Society of Anesthesiologists class, albumin, bilirubin, preoperative sepsis, disseminated cancer, and operative year. A four-way decomposition and E-values were computed; the primary analysis was prespecified in adults 65 years or older.</w:t>
      </w:r>
    </w:p>
    <w:p>
      <w:r>
        <w:rPr>
          <w:b/>
        </w:rPr>
        <w:t xml:space="preserve">Results: </w:t>
      </w:r>
      <w:r>
        <w:t>Among 24,199 patients, 5,680 (23.5%) were frail, 9,538 (39.4%) developed a major complication, and 431 (1.78%) died within 30 days, with failure to rescue in 4.3%. Across the frailty gradient, major complications rose modestly (36.2%, 39.8%, and 44.0% for mFI-5 of 0, 1, and 2 or greater) while failure to rescue rose disproportionately (3.1%, 4.8%, and 5.1%). In the primary analysis among adults 65 years or older (n=14,759; 333 deaths), frailty increased 30-day mortality by 0.61 percentage points (pp) (95% CI, 0.11 to 1.16; total-effect OR 1.29, 95% CI 1.04-1.63; E-value 1.91). Despite the higher complication burden among frail patients, only 32% of this excess mortality was transmitted through complication occurrence (natural indirect effect, 0.20 pp; 95% CI, 0.11 to 0.30), with the remaining 68% acting directly (natural direct effect, 0.42 pp; 95% CI, -0.06 to 0.92). Four-way decomposition confirmed a dominant controlled direct effect (0.378 pp; 95% CI, 0.110 to 0.711) alongside a smaller pure indirect effect (0.195 pp; 95% CI, 0.110 to 0.284), with null reference and mediated interactions. Frail patients also died more often from the same complication, with higher case-fatality across nearly every complication type, including organ or space surgical site infection (4.0% vs 2.8%) and reoperation (13.0% vs 11.2%). When isolated transfusion was excluded from the complication composite, 97% of the frailty effect acted through the direct pathway (0.57 pp; 95% CI, 0.03 to 1.12). Frailty conferred no measurable mortality effect among patients younger than 65 years (-0.05 pp; 95% CI, -0.56 to 0.59; OR 0.97, 95% CI 0.52-1.67).</w:t>
      </w:r>
    </w:p>
    <w:p>
      <w:r>
        <w:rPr>
          <w:b/>
        </w:rPr>
        <w:t xml:space="preserve">Conclusions: </w:t>
      </w:r>
      <w:r>
        <w:t>Among older adults undergoing pancreaticoduodenectomy, the excess mortality associated with frailty was attributable less to the occurrence of complications than to a diminished capacity to survive them, and this rescue gap was confined to patients 65 years or older. Most of the frailty-associated mortality would persist even if complication occurrence were held constant, indicating that prevention alone is unlikely to close it. These findings support pairing preoperative frailty screening with structured rescue pathways, including early recognition of deterioration and prespecified escalation-of-care triggers, for older frail patients in whom a complication is far more likely to prove fatal.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