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79F1" w14:textId="77777777" w:rsidR="006A3E9F" w:rsidRDefault="006A3E9F">
      <w:pPr>
        <w:spacing w:after="240"/>
        <w:rPr>
          <w:rFonts w:ascii="Calibri" w:eastAsia="Times New Roman" w:hAnsi="Calibri" w:cs="Calibri"/>
          <w:sz w:val="22"/>
          <w:szCs w:val="22"/>
        </w:rPr>
      </w:pPr>
      <w:r>
        <w:rPr>
          <w:rFonts w:ascii="Calibri" w:eastAsia="Times New Roman" w:hAnsi="Calibri" w:cs="Calibri"/>
          <w:sz w:val="22"/>
          <w:szCs w:val="22"/>
        </w:rPr>
        <w:t>Günaydın. FTSE Russell, yıllık ülke sınıflandırması değerlendirmesinde Türkiye'nin "Gelişmiş Gelişen Piyasa" statüsünü korudu ve ülkeyi izleme listesine almadı. Endeks sağlayıcı, fiili dolaşım oranlarına ilişkin verilerin ayrıntı düzeyinin iyileştirilmesi konusunda Borsa İstanbul ve SPK ile görüşmelerin sürdüğünü belirtti. TCMB Başkanı Karahan ise TBMM Plan ve Bütçe Komisyonu'nda fon piyasası genelinin sağlıklı işlemeye devam ettiğini ve finansal sistemin genelini etkileyen bir sorun görmediklerini ifade et</w:t>
      </w:r>
      <w:r>
        <w:rPr>
          <w:rFonts w:ascii="Calibri" w:eastAsia="Times New Roman" w:hAnsi="Calibri" w:cs="Calibri"/>
          <w:sz w:val="22"/>
          <w:szCs w:val="22"/>
        </w:rPr>
        <w:t>ti. Karahan, önceliklerinin sorunun genele yayılmasını önlemek olduğunu belirterek piyasa koşullarına göre gerekli adımları atmaya devam edeceklerini söyledi. ABD'de güçlü kar beklentileri ve yapay zeka hisselerindeki yükselişle S</w:t>
      </w:r>
      <w:r>
        <w:rPr>
          <w:rFonts w:ascii="Calibri" w:eastAsia="Times New Roman" w:hAnsi="Calibri" w:cs="Calibri"/>
          <w:sz w:val="22"/>
          <w:szCs w:val="22"/>
        </w:rPr>
        <w:t xml:space="preserve">&amp;P 500 dün ağustostan bu yana ilk kez rekor seviyeye çıktı. Bloomberg Intelligence verilerine göre S&amp;P </w:t>
      </w:r>
      <w:r>
        <w:rPr>
          <w:rFonts w:ascii="Calibri" w:eastAsia="Times New Roman" w:hAnsi="Calibri" w:cs="Calibri"/>
          <w:sz w:val="22"/>
          <w:szCs w:val="22"/>
        </w:rPr>
        <w:t>500 şirketlerinin üçüncü çeyrek karlarının yıllık bazda yaklaşık %25 artması bekleniyor. ABD 10 yıllık tahvil faizinin 2002'den bu yana görülen en yüksek seviyeden gerilemesi de hisseleri destekledi. Jeopolitik tarafta İran'ın son günlerde Hürmüz Boğazı'ndaki tankerlere yönelik saldırılarını artırdığı bildirildi. Birleşik Krallık Deniz Ticareti Operasyonları bu ay Hürmüz'de dokuz saldırı bildirirken boğazdan yapılan petrol sevkiyatları savaş öncesi seviyelere yaklaşmış durumda. Gelişmelerin ardından Brent p</w:t>
      </w:r>
      <w:r>
        <w:rPr>
          <w:rFonts w:ascii="Calibri" w:eastAsia="Times New Roman" w:hAnsi="Calibri" w:cs="Calibri"/>
          <w:sz w:val="22"/>
          <w:szCs w:val="22"/>
        </w:rPr>
        <w:t>etrol bu sabah 101 doların üzerine çıktı. Bugün yurt içinde TCMB Başkanı Karahan TSİ 11:15'te İstanbul'da bir zirvede konuşacak. Cumhurbaşkanı Yardımcısı Cevdet Yılmaz, TBMM Genel Kurulu'nda fon soruşturmasına ilişkin bilgilendirme yapacağını bildirdi. Fed'in faiz artırımına gittiği 15-16 Eylül toplantısının tutanakları ise TSİ 21:00'de yayımlanacak. BIST kapanışından bu yana yurt dışı piyasalarda satıcılı bir seyir izlendi. Nikkei 225 vadeli %1,33, Euro Stoxx 50 CFD %0,59 ve S</w:t>
      </w:r>
      <w:r>
        <w:rPr>
          <w:rFonts w:ascii="Calibri" w:eastAsia="Times New Roman" w:hAnsi="Calibri" w:cs="Calibri"/>
          <w:sz w:val="22"/>
          <w:szCs w:val="22"/>
        </w:rPr>
        <w:t xml:space="preserve">&amp;P </w:t>
      </w:r>
      <w:r>
        <w:rPr>
          <w:rFonts w:ascii="Calibri" w:eastAsia="Times New Roman" w:hAnsi="Calibri" w:cs="Calibri"/>
          <w:sz w:val="22"/>
          <w:szCs w:val="22"/>
        </w:rPr>
        <w:t>500 vadeli %0,13 geriledi. ABD 10 yıllık tahvil faizi 4 baz puan artarak %5,31'e yükseldi. Brent petrol %3,13 yükselirken ons altın %0,61 geriledi; USDTRY 49,19 seviyesinde işlem görüyor. BIST 100 dün %0,56 düşüşle 12.374 puandan kapandı. BIST Sanayi %1,21, BIST 30 %0,49 gerilerken BIST Bankacılık %0,66 yükseldi. Endeks 5 günlük ortalamasının üzerinde kalırken 12.500-12.750 bandını ilk direnç bölgesi olarak izliyoruz. Bu bölgenin aşılması halinde 12.900 seviyesi gündeme gelebilir. Aşağı yönlü hareketlerde i</w:t>
      </w:r>
      <w:r>
        <w:rPr>
          <w:rFonts w:ascii="Calibri" w:eastAsia="Times New Roman" w:hAnsi="Calibri" w:cs="Calibri"/>
          <w:sz w:val="22"/>
          <w:szCs w:val="22"/>
        </w:rPr>
        <w:t>se 12.300 ve 11.500 seviyelerini destek olarak izliyoruz. Burada yer alan yatırım bilgi, yorum ve tavsiyeleri yatırım danışmanlığı kapsamında değildir. Yatırım danışmanlığı hizmeti, yetkili kuruluşlar tarafından kişilerin risk ve getiri tercihleri dikkate alınarak kişiye özel sunulmaktadır. Burada yer alan yorum ve tavsiyeler ise genel niteliktedir. Bu tavsiyeler mali durumunuz ile risk ve getiri tercihlerinize uygun olmayabilir. Bu nedenle, sadece burada yer alan bilgilere dayanılarak yatırım kararı verilm</w:t>
      </w:r>
      <w:r>
        <w:rPr>
          <w:rFonts w:ascii="Calibri" w:eastAsia="Times New Roman" w:hAnsi="Calibri" w:cs="Calibri"/>
          <w:sz w:val="22"/>
          <w:szCs w:val="22"/>
        </w:rPr>
        <w:t>esi beklentilerinize uygun sonuçlar doğurmayabilir. 7 Ekim 2026 YURT İÇİ GÜNLÜK BÜLTEN</w:t>
      </w:r>
      <w:r>
        <w:rPr>
          <w:rFonts w:ascii="Calibri" w:eastAsia="Times New Roman" w:hAnsi="Calibri" w:cs="Calibri"/>
          <w:sz w:val="22"/>
          <w:szCs w:val="22"/>
        </w:rPr>
        <w:t xml:space="preserve">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color w:val="0056B3"/>
          <w:sz w:val="28"/>
          <w:szCs w:val="28"/>
        </w:rPr>
        <w:t>Hak Kullanımları</w:t>
      </w:r>
      <w:r>
        <w:rPr>
          <w:rFonts w:ascii="Calibri" w:eastAsia="Times New Roman" w:hAnsi="Calibri" w:cs="Calibri"/>
          <w:sz w:val="22"/>
          <w:szCs w:val="22"/>
        </w:rPr>
        <w:br/>
        <w:t xml:space="preserve">* Kaynak: Investing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sz w:val="22"/>
          <w:szCs w:val="22"/>
        </w:rPr>
        <w:t>RGYAS</w:t>
      </w:r>
      <w:r>
        <w:rPr>
          <w:rFonts w:ascii="Calibri" w:eastAsia="Times New Roman" w:hAnsi="Calibri" w:cs="Calibri"/>
          <w:sz w:val="22"/>
          <w:szCs w:val="22"/>
        </w:rPr>
        <w:t xml:space="preserve"> kâr payı ödemesi bugün gerçekleştirilecektir. Şirket Haberleri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sz w:val="22"/>
          <w:szCs w:val="22"/>
        </w:rPr>
        <w:t>AHGAZ,</w:t>
      </w:r>
      <w:r>
        <w:rPr>
          <w:rFonts w:ascii="Calibri" w:eastAsia="Times New Roman" w:hAnsi="Calibri" w:cs="Calibri"/>
          <w:sz w:val="22"/>
          <w:szCs w:val="22"/>
        </w:rPr>
        <w:t xml:space="preserve"> dolaylı bağlı ortaklığı Ahlatcı Altın İşletmeleri A.Ş.'nin Kütahya ili Simav ilçesinde yer alan 202500390 ve 202500391 numaralı ruhsat sahalarında sondajlı arama faaliyetlerine başladığını duyurmuştur.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sz w:val="22"/>
          <w:szCs w:val="22"/>
        </w:rPr>
        <w:t>AKFGY,</w:t>
      </w:r>
      <w:r>
        <w:rPr>
          <w:rFonts w:ascii="Calibri" w:eastAsia="Times New Roman" w:hAnsi="Calibri" w:cs="Calibri"/>
          <w:sz w:val="22"/>
          <w:szCs w:val="22"/>
        </w:rPr>
        <w:t xml:space="preserve"> </w:t>
      </w:r>
      <w:r>
        <w:rPr>
          <w:rFonts w:ascii="Calibri" w:eastAsia="Times New Roman" w:hAnsi="Calibri" w:cs="Calibri"/>
          <w:sz w:val="22"/>
          <w:szCs w:val="22"/>
        </w:rPr>
        <w:t xml:space="preserve">Kocaeli Gebze'de bulunan arsası üzerinde geliştirilecek lojistik deponun küresel bir e-ticaret şirketine kiralanması amacıyla 6 Ekim 2026 tarihinde Münhasırlık Sözleşmesi ve Ticari Şartlar Belgesi imzalandığını duyurdu.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sz w:val="22"/>
          <w:szCs w:val="22"/>
        </w:rPr>
        <w:t>HLGYO,</w:t>
      </w:r>
      <w:r>
        <w:rPr>
          <w:rFonts w:ascii="Calibri" w:eastAsia="Times New Roman" w:hAnsi="Calibri" w:cs="Calibri"/>
          <w:sz w:val="22"/>
          <w:szCs w:val="22"/>
        </w:rPr>
        <w:t xml:space="preserve"> daha önce başlatılan ihraç tavanı sürecinin iptal edildiğini duyurmuştur. İptal gerekçesi olarak, sürecin fon kullanıcısı sıfatıyla şirket yerine yatırım kuruluşu nezdinde takip edilmesi gösterilmiştir.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sz w:val="22"/>
          <w:szCs w:val="22"/>
        </w:rPr>
        <w:t>TEBYT,</w:t>
      </w:r>
      <w:r>
        <w:rPr>
          <w:rFonts w:ascii="Calibri" w:eastAsia="Times New Roman" w:hAnsi="Calibri" w:cs="Calibri"/>
          <w:sz w:val="22"/>
          <w:szCs w:val="22"/>
        </w:rPr>
        <w:t xml:space="preserve"> </w:t>
      </w:r>
      <w:r>
        <w:rPr>
          <w:rFonts w:ascii="Calibri" w:eastAsia="Times New Roman" w:hAnsi="Calibri" w:cs="Calibri"/>
          <w:sz w:val="22"/>
          <w:szCs w:val="22"/>
        </w:rPr>
        <w:t xml:space="preserve">TEB Yatırım Menkul Değerler A.Ş. aracılığıyla Akçansa Çimento Sanayi ve Ticaret A.Ş. (AKCNS) payları için Heidelberg Materials AG tarafından yürütülen zorunlu pay alım teklifi süreci 6 Ekim 2026 </w:t>
      </w:r>
      <w:r>
        <w:rPr>
          <w:rFonts w:ascii="Calibri" w:eastAsia="Times New Roman" w:hAnsi="Calibri" w:cs="Calibri"/>
          <w:sz w:val="22"/>
          <w:szCs w:val="22"/>
        </w:rPr>
        <w:lastRenderedPageBreak/>
        <w:t xml:space="preserve">tarihi itibarıyla tamamlanmıştır. 23 Eylül 2026 tarihinde başlayan süreçte, 1 TL nominal değerli pay başına 274,24 TL fiyattan toplam 29.485.567 adet pay toplanmış ve işleme 1.062 pay sahibi katılım sağlamıştır.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sz w:val="22"/>
          <w:szCs w:val="22"/>
        </w:rPr>
        <w:t>TRALT,</w:t>
      </w:r>
      <w:r>
        <w:rPr>
          <w:rFonts w:ascii="Calibri" w:eastAsia="Times New Roman" w:hAnsi="Calibri" w:cs="Calibri"/>
          <w:sz w:val="22"/>
          <w:szCs w:val="22"/>
        </w:rPr>
        <w:t xml:space="preserve"> </w:t>
      </w:r>
      <w:r>
        <w:rPr>
          <w:rFonts w:ascii="Calibri" w:eastAsia="Times New Roman" w:hAnsi="Calibri" w:cs="Calibri"/>
          <w:sz w:val="22"/>
          <w:szCs w:val="22"/>
        </w:rPr>
        <w:t>Şirketin Çanakkale'de gerçekleştirmeyi planladığı "Altın-Gümüş Madeni Açık Ocak İşletmesi Projesi" için daha önce alınan ÇED olumlu kararının iptali talebiyle açılan davalarda, Çanakkale 1. ve 2. İdare Mahkemeleri tarafından ÇED kararının iptaline hükmedilmiştir. Çanakkale 2. İdare Mahkemesi'nde görülen davada bazı davacıların başvuruları ise dava ehliyeti bulunmadığı gerekçesiyle reddedilmiştir. Kararlar kesin nitelikte olmayıp, şirketin yasal süresi içerisinde Danıştay nezdinde temyiz başvurusunda bulunac</w:t>
      </w:r>
      <w:r>
        <w:rPr>
          <w:rFonts w:ascii="Calibri" w:eastAsia="Times New Roman" w:hAnsi="Calibri" w:cs="Calibri"/>
          <w:sz w:val="22"/>
          <w:szCs w:val="22"/>
        </w:rPr>
        <w:t>ağı açıklanmıştır.</w:t>
      </w:r>
      <w:r>
        <w:rPr>
          <w:rFonts w:ascii="Calibri" w:eastAsia="Times New Roman" w:hAnsi="Calibri" w:cs="Calibri"/>
          <w:sz w:val="22"/>
          <w:szCs w:val="22"/>
        </w:rPr>
        <w:t xml:space="preserve">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sz w:val="22"/>
          <w:szCs w:val="22"/>
        </w:rPr>
        <w:t>TRALT,</w:t>
      </w:r>
      <w:r>
        <w:rPr>
          <w:rFonts w:ascii="Calibri" w:eastAsia="Times New Roman" w:hAnsi="Calibri" w:cs="Calibri"/>
          <w:sz w:val="22"/>
          <w:szCs w:val="22"/>
        </w:rPr>
        <w:t xml:space="preserve"> </w:t>
      </w:r>
      <w:r>
        <w:rPr>
          <w:rFonts w:ascii="Calibri" w:eastAsia="Times New Roman" w:hAnsi="Calibri" w:cs="Calibri"/>
          <w:sz w:val="22"/>
          <w:szCs w:val="22"/>
        </w:rPr>
        <w:t>Şirketin Birleşik Krallık'ta mukim iştiraki Koza Ltd.'nin tasfiyesi amacıyla İngiltere ve Galler Mahkemeleri nezdinde yürütülen hukuki süreçte, mahkeme tarafından 6 Ekim 2026 tarihinde açıklanan gerekçeli kararla, Şirket lehine karar verilerek tasfiye talebinin kabulüne hükmedilmiştir. Bununla birlikte, tasfiye sürecine ilişkin nihai hukuki ve usuli işlemler henüz tamamlanmamıştır. Önümüzdeki günlerde yapılması beklenen duruşmada tasfiye kararının uygulanmasına yönelik hususların ve Koza Ltd.'ye resmi tasfi</w:t>
      </w:r>
      <w:r>
        <w:rPr>
          <w:rFonts w:ascii="Calibri" w:eastAsia="Times New Roman" w:hAnsi="Calibri" w:cs="Calibri"/>
          <w:sz w:val="22"/>
          <w:szCs w:val="22"/>
        </w:rPr>
        <w:t>ye memuru atanmasının yanı sıra, Hamdi Akın İpek tarafından yapılabilecek istinaf izni başvurusunun değerlendirilmesi beklenmektedir.</w:t>
      </w:r>
      <w:r>
        <w:rPr>
          <w:rFonts w:ascii="Calibri" w:eastAsia="Times New Roman" w:hAnsi="Calibri" w:cs="Calibri"/>
          <w:sz w:val="22"/>
          <w:szCs w:val="22"/>
        </w:rPr>
        <w:t xml:space="preserve"> </w:t>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sz w:val="22"/>
          <w:szCs w:val="22"/>
        </w:rPr>
        <w:br/>
      </w:r>
      <w:r>
        <w:rPr>
          <w:rFonts w:ascii="Calibri" w:eastAsia="Times New Roman" w:hAnsi="Calibri" w:cs="Calibri"/>
          <w:b/>
          <w:bCs/>
          <w:color w:val="0056B3"/>
          <w:sz w:val="28"/>
          <w:szCs w:val="28"/>
        </w:rPr>
        <w:t>Günlük Hisse Önerileri</w:t>
      </w:r>
      <w:r>
        <w:rPr>
          <w:rFonts w:ascii="Calibri" w:eastAsia="Times New Roman" w:hAnsi="Calibri" w:cs="Calibri"/>
          <w:sz w:val="22"/>
          <w:szCs w:val="22"/>
        </w:rPr>
        <w:br/>
      </w:r>
      <w:r>
        <w:rPr>
          <w:rFonts w:ascii="Calibri" w:eastAsia="Times New Roman" w:hAnsi="Calibri" w:cs="Calibri"/>
          <w:b/>
          <w:bCs/>
          <w:sz w:val="22"/>
          <w:szCs w:val="22"/>
        </w:rPr>
        <w:t>AEFES</w:t>
      </w:r>
      <w:r>
        <w:rPr>
          <w:rFonts w:ascii="Calibri" w:eastAsia="Times New Roman" w:hAnsi="Calibri" w:cs="Calibri"/>
          <w:sz w:val="22"/>
          <w:szCs w:val="22"/>
        </w:rPr>
        <w:br/>
        <w:t>Hedef Fiyat: 19,38 TL</w:t>
      </w:r>
      <w:r>
        <w:rPr>
          <w:rFonts w:ascii="Calibri" w:eastAsia="Times New Roman" w:hAnsi="Calibri" w:cs="Calibri"/>
          <w:sz w:val="22"/>
          <w:szCs w:val="22"/>
        </w:rPr>
        <w:br/>
        <w:t>Zarar Kes: 18,32 TL</w:t>
      </w:r>
    </w:p>
    <w:sectPr w:rsidR="006A3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70BA"/>
    <w:rsid w:val="006A3E9F"/>
    <w:rsid w:val="00AF3C15"/>
    <w:rsid w:val="00CD70B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F8C69"/>
  <w15:chartTrackingRefBased/>
  <w15:docId w15:val="{B4E6C23B-24F8-4D9A-BAA7-8B553C6B5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4"/>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botteq</dc:creator>
  <cp:keywords/>
  <dc:description/>
  <cp:lastModifiedBy>botteq</cp:lastModifiedBy>
  <cp:revision>2</cp:revision>
  <dcterms:created xsi:type="dcterms:W3CDTF">2026-10-07T06:02:00Z</dcterms:created>
  <dcterms:modified xsi:type="dcterms:W3CDTF">2026-10-07T06:02:00Z</dcterms:modified>
</cp:coreProperties>
</file>