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DAVENPORT SWANSON PLC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Mccarty And Whitehead Inc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SETH WATKINS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SETH WATKINS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23 February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23 February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SETH WATKINS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23 February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DAVENPORT SWANSON PLC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SETH WATKINS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SIGNE HUGHES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PROIDENT VERO AUT U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