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Hardware and Software Requirements</w:t>
        <w:br/>
        <w:br/>
        <w:t>The proposed Exam Question Recommendation System will be developed and tested using commonly available hardware and software. The selected environment is sufficient to design, implement, test and evaluate the application while remaining realistic for a student development project. The requirements have been selected to ensure that the recommendation engine, database and web application can be executed efficiently without requiring specialist equipment.</w:t>
        <w:br/>
        <w:br/>
        <w:t>From a hardware perspective, the development computer should contain a modern multi-core processor such as an Intel Core i5 or AMD Ryzen 5 (or better), a minimum of 8 GB RAM (16 GB recommended), at least 20 GB of available storage for the development tools, databases and project files, and a reliable broadband internet connection for downloading dependencies, source control and deployment. Testing should also be carried out on different screen sizes using desktop and laptop devices to ensure the user interface remains responsive.</w:t>
        <w:br/>
        <w:br/>
        <w:t>The software environment consists of Windows 11 (or Windows 10), Visual Studio Code as the primary integrated development environment, Node.js and npm for running the application, Git and GitHub for version control, MongoDB (or PostgreSQL/Supabase) for persistent data storage, and a modern web browser such as Google Chrome or Microsoft Edge for testing. The front end will be developed using React and Next.js with HTML, CSS and TypeScript/JavaScript, while the server-side logic will be implemented using Next.js API routes or ASP.NET Core if an alternative implementation is selected. Charts and analytics will be produced using a JavaScript charting library.</w:t>
        <w:br/>
        <w:br/>
        <w:t>These hardware and software requirements provide an appropriate platform for implementing the adaptive recommendation algorithm, performance tracking, automatic marking, analytics dashboard and question management features. The chosen technologies are widely supported, freely available for educational use and suitable for meeting the objectives of the OCR Computer Science NEA project.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