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3</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3 comprises the following 13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Tioga</w:t>
      </w:r>
    </w:p>
    <w:p>
      <w:pPr>
        <w:pStyle w:val="ListParagraph"/>
        <w:numPr>
          <w:ilvl w:val="0"/>
          <w:numId w:val="1"/>
        </w:numPr>
        <w:spacing w:after="80"/>
      </w:pPr>
      <w:r>
        <w:t xml:space="preserve">Clinton</w:t>
      </w:r>
    </w:p>
    <w:p>
      <w:pPr>
        <w:pStyle w:val="ListParagraph"/>
        <w:numPr>
          <w:ilvl w:val="0"/>
          <w:numId w:val="1"/>
        </w:numPr>
        <w:spacing w:after="80"/>
      </w:pPr>
      <w:r>
        <w:t xml:space="preserve">Lycoming</w:t>
      </w:r>
    </w:p>
    <w:p>
      <w:pPr>
        <w:pStyle w:val="ListParagraph"/>
        <w:numPr>
          <w:ilvl w:val="0"/>
          <w:numId w:val="1"/>
        </w:numPr>
        <w:spacing w:after="80"/>
      </w:pPr>
      <w:r>
        <w:t xml:space="preserve">Sullivan</w:t>
      </w:r>
    </w:p>
    <w:p>
      <w:pPr>
        <w:pStyle w:val="ListParagraph"/>
        <w:numPr>
          <w:ilvl w:val="0"/>
          <w:numId w:val="1"/>
        </w:numPr>
        <w:spacing w:after="80"/>
      </w:pPr>
      <w:r>
        <w:t xml:space="preserve">Bradford</w:t>
      </w:r>
    </w:p>
    <w:p>
      <w:pPr>
        <w:pStyle w:val="ListParagraph"/>
        <w:numPr>
          <w:ilvl w:val="0"/>
          <w:numId w:val="1"/>
        </w:numPr>
        <w:spacing w:after="80"/>
      </w:pPr>
      <w:r>
        <w:t xml:space="preserve">Susquehanna</w:t>
      </w:r>
    </w:p>
    <w:p>
      <w:pPr>
        <w:pStyle w:val="ListParagraph"/>
        <w:numPr>
          <w:ilvl w:val="0"/>
          <w:numId w:val="1"/>
        </w:numPr>
        <w:spacing w:after="80"/>
      </w:pPr>
      <w:r>
        <w:t xml:space="preserve">Wyoming</w:t>
      </w:r>
    </w:p>
    <w:p>
      <w:pPr>
        <w:pStyle w:val="ListParagraph"/>
        <w:numPr>
          <w:ilvl w:val="0"/>
          <w:numId w:val="1"/>
        </w:numPr>
        <w:spacing w:after="80"/>
      </w:pPr>
      <w:r>
        <w:t xml:space="preserve">Lackawanna</w:t>
      </w:r>
    </w:p>
    <w:p>
      <w:pPr>
        <w:pStyle w:val="ListParagraph"/>
        <w:numPr>
          <w:ilvl w:val="0"/>
          <w:numId w:val="1"/>
        </w:numPr>
        <w:spacing w:after="80"/>
      </w:pPr>
      <w:r>
        <w:t xml:space="preserve">Wayne</w:t>
      </w:r>
    </w:p>
    <w:p>
      <w:pPr>
        <w:pStyle w:val="ListParagraph"/>
        <w:numPr>
          <w:ilvl w:val="0"/>
          <w:numId w:val="1"/>
        </w:numPr>
        <w:spacing w:after="80"/>
      </w:pPr>
      <w:r>
        <w:t xml:space="preserve">Pike</w:t>
      </w:r>
    </w:p>
    <w:p>
      <w:pPr>
        <w:pStyle w:val="ListParagraph"/>
        <w:numPr>
          <w:ilvl w:val="0"/>
          <w:numId w:val="1"/>
        </w:numPr>
        <w:spacing w:after="80"/>
      </w:pPr>
      <w:r>
        <w:t xml:space="preserve">Monroe</w:t>
      </w:r>
    </w:p>
    <w:p>
      <w:pPr>
        <w:pStyle w:val="ListParagraph"/>
        <w:numPr>
          <w:ilvl w:val="0"/>
          <w:numId w:val="1"/>
        </w:numPr>
        <w:spacing w:after="80"/>
      </w:pPr>
      <w:r>
        <w:t xml:space="preserve">Carbon</w:t>
      </w:r>
    </w:p>
    <w:p>
      <w:pPr>
        <w:pStyle w:val="ListParagraph"/>
        <w:numPr>
          <w:ilvl w:val="0"/>
          <w:numId w:val="1"/>
        </w:numPr>
        <w:spacing w:after="80"/>
      </w:pPr>
      <w:r>
        <w:t xml:space="preserve">Luzerne</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3</w:t>
      </w:r>
    </w:p>
    <w:p>
      <w:pPr>
        <w:spacing w:after="160"/>
      </w:pPr>
      <w:r>
        <w:t xml:space="preserve">The following carriers list at least one Rating Area 3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Health Partners Plans,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Highmark Benefits Group</w:t>
            </w:r>
          </w:p>
        </w:tc>
        <w:tc>
          <w:tcPr>
            <w:tcW w:type="dxa" w:w="1400"/>
          </w:tcPr>
          <w:p>
            <w:r>
              <w:t xml:space="preserve">Not confirmed</w:t>
            </w:r>
          </w:p>
        </w:tc>
        <w:tc>
          <w:tcPr>
            <w:tcW w:type="dxa" w:w="4740"/>
          </w:tcPr>
          <w:p>
            <w:r>
              <w:t xml:space="preserve">Coverage area confirmed via PID's 2027 coverage-area listing; individual-market rate figure not located in sources reviewed (Highmark, Inc.'s confirmed 15.57% figure applies to its small-group filing — see small-group table).</w:t>
            </w:r>
          </w:p>
        </w:tc>
      </w:tr>
      <w:tr>
        <w:tc>
          <w:tcPr>
            <w:tcW w:type="dxa" w:w="3200"/>
          </w:tcPr>
          <w:p>
            <w:r>
              <w:t xml:space="preserve">Oscar Health Plan of Pennsylvania,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Partners Insurance Company, Inc. (dba Jefferson Health Plans)</w:t>
            </w:r>
          </w:p>
        </w:tc>
        <w:tc>
          <w:tcPr>
            <w:tcW w:type="dxa" w:w="1400"/>
          </w:tcPr>
          <w:p>
            <w:r>
              <w:t xml:space="preserve">Not confirmed</w:t>
            </w:r>
          </w:p>
        </w:tc>
        <w:tc>
          <w:tcPr>
            <w:tcW w:type="dxa" w:w="4740"/>
          </w:tcPr>
          <w:p>
            <w:r>
              <w:t xml:space="preserve">Actuarial memorandum (filed May 13, 2026, SERFF #PICI-134951749) was located, but the specific aggregate percentage was not confirmed in the excerpt reviewed; a companion reference in PID records notes '8 plans in 2027' with no stated change from 2026 for a related filing (#PICI-134915629) — carrier should be asked to confirm which figure applies before citing a number publicly.</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bl>
    <w:p>
      <w:pPr>
        <w:spacing w:after="160"/>
      </w:pPr>
      <w:r>
        <w:t xml:space="preserve"/>
      </w:r>
    </w:p>
    <w:p>
      <w:pPr>
        <w:pStyle w:val="Heading2"/>
        <w:spacing w:after="120" w:before="240"/>
      </w:pPr>
      <w:r>
        <w:t xml:space="preserve">Small Group Market — 2027 Filed Rate Changes</w:t>
      </w:r>
    </w:p>
    <w:p>
      <w:pPr>
        <w:spacing w:after="160"/>
      </w:pPr>
      <w:r>
        <w:rPr>
          <w:i/>
          <w:iCs/>
        </w:rPr>
        <w:t xml:space="preserve">No small-group carrier-level rate figure specific to Rating Area 3 was confirmed in the sources reviewed for this pass. This should not be read as "no small-group filings apply" — only that a verified, area-specific figure was not located; confirm directly against PID's posted small-group filings before publishing a claim either way.</w:t>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2026-09-08T06:07:55.180Z</dcterms:created>
  <dcterms:modified xsi:type="dcterms:W3CDTF">2026-09-08T06:07:55.180Z</dcterms:modified>
</cp:coreProperties>
</file>

<file path=docProps/custom.xml><?xml version="1.0" encoding="utf-8"?>
<Properties xmlns="http://schemas.openxmlformats.org/officeDocument/2006/custom-properties" xmlns:vt="http://schemas.openxmlformats.org/officeDocument/2006/docPropsVTypes"/>
</file>