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5</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5 comprises the following 7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Jefferson</w:t>
      </w:r>
    </w:p>
    <w:p>
      <w:pPr>
        <w:pStyle w:val="ListParagraph"/>
        <w:numPr>
          <w:ilvl w:val="0"/>
          <w:numId w:val="1"/>
        </w:numPr>
        <w:spacing w:after="80"/>
      </w:pPr>
      <w:r>
        <w:t xml:space="preserve">Clearfield</w:t>
      </w:r>
    </w:p>
    <w:p>
      <w:pPr>
        <w:pStyle w:val="ListParagraph"/>
        <w:numPr>
          <w:ilvl w:val="0"/>
          <w:numId w:val="1"/>
        </w:numPr>
        <w:spacing w:after="80"/>
      </w:pPr>
      <w:r>
        <w:t xml:space="preserve">Cambria</w:t>
      </w:r>
    </w:p>
    <w:p>
      <w:pPr>
        <w:pStyle w:val="ListParagraph"/>
        <w:numPr>
          <w:ilvl w:val="0"/>
          <w:numId w:val="1"/>
        </w:numPr>
        <w:spacing w:after="80"/>
      </w:pPr>
      <w:r>
        <w:t xml:space="preserve">Somerset</w:t>
      </w:r>
    </w:p>
    <w:p>
      <w:pPr>
        <w:pStyle w:val="ListParagraph"/>
        <w:numPr>
          <w:ilvl w:val="0"/>
          <w:numId w:val="1"/>
        </w:numPr>
        <w:spacing w:after="80"/>
      </w:pPr>
      <w:r>
        <w:t xml:space="preserve">Bedford</w:t>
      </w:r>
    </w:p>
    <w:p>
      <w:pPr>
        <w:pStyle w:val="ListParagraph"/>
        <w:numPr>
          <w:ilvl w:val="0"/>
          <w:numId w:val="1"/>
        </w:numPr>
        <w:spacing w:after="80"/>
      </w:pPr>
      <w:r>
        <w:t xml:space="preserve">Blair</w:t>
      </w:r>
    </w:p>
    <w:p>
      <w:pPr>
        <w:pStyle w:val="ListParagraph"/>
        <w:numPr>
          <w:ilvl w:val="0"/>
          <w:numId w:val="1"/>
        </w:numPr>
        <w:spacing w:after="80"/>
      </w:pPr>
      <w:r>
        <w:t xml:space="preserve">Huntingdon</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5</w:t>
      </w:r>
    </w:p>
    <w:p>
      <w:pPr>
        <w:spacing w:after="160"/>
      </w:pPr>
      <w:r>
        <w:t xml:space="preserve">The following carriers list at least one Rating Area 5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Geisinger Health Plan</w:t>
            </w:r>
          </w:p>
        </w:tc>
        <w:tc>
          <w:tcPr>
            <w:tcW w:type="dxa" w:w="1400"/>
          </w:tcPr>
          <w:p>
            <w:r>
              <w:t xml:space="preserve">+10.5%</w:t>
            </w:r>
          </w:p>
        </w:tc>
        <w:tc>
          <w:tcPr>
            <w:tcW w:type="dxa" w:w="4740"/>
          </w:tcPr>
          <w:p>
            <w:r>
              <w:t xml:space="preserve">Aggregate rate change (Table 11, cell AN13); varies by plan from +6.2% to +13.2%. Filing notes 2026 enrollment grew rather than shrank after the December 2025 enhanced-subsidy expiration, with an estimated 1.0% morbidity adjustment applied.</w:t>
            </w:r>
          </w:p>
        </w:tc>
      </w:tr>
      <w:tr>
        <w:tc>
          <w:tcPr>
            <w:tcW w:type="dxa" w:w="3200"/>
          </w:tcPr>
          <w:p>
            <w:r>
              <w:t xml:space="preserve">Geisinger Quality Options</w:t>
            </w:r>
          </w:p>
        </w:tc>
        <w:tc>
          <w:tcPr>
            <w:tcW w:type="dxa" w:w="1400"/>
          </w:tcPr>
          <w:p>
            <w:r>
              <w:t xml:space="preserve">Not confirmed</w:t>
            </w:r>
          </w:p>
        </w:tc>
        <w:tc>
          <w:tcPr>
            <w:tcW w:type="dxa" w:w="4740"/>
          </w:tcPr>
          <w:p>
            <w:r>
              <w:t xml:space="preserve">Companion filing to Geisinger Health Plan; carrier-specific aggregate not separately located in sources reviewed.</w:t>
            </w:r>
          </w:p>
        </w:tc>
      </w:tr>
      <w:tr>
        <w:tc>
          <w:tcPr>
            <w:tcW w:type="dxa" w:w="3200"/>
          </w:tcPr>
          <w:p>
            <w:r>
              <w:t xml:space="preserve">Highmark, Inc.</w:t>
            </w:r>
          </w:p>
        </w:tc>
        <w:tc>
          <w:tcPr>
            <w:tcW w:type="dxa" w:w="1400"/>
          </w:tcPr>
          <w:p>
            <w:r>
              <w:t xml:space="preserve">Not confirmed</w:t>
            </w:r>
          </w:p>
        </w:tc>
        <w:tc>
          <w:tcPr>
            <w:tcW w:type="dxa" w:w="4740"/>
          </w:tcPr>
          <w:p>
            <w:r>
              <w:t xml:space="preserve">Individual-market rate figure not located in sources reviewed. Note: Highmark, Inc.'s confirmed 15.57% figure is from its separate small-group filing (see small-group table) and should not be applied to individual-market plans.</w:t>
            </w:r>
          </w:p>
        </w:tc>
      </w:tr>
      <w:tr>
        <w:tc>
          <w:tcPr>
            <w:tcW w:type="dxa" w:w="3200"/>
          </w:tcPr>
          <w:p>
            <w:r>
              <w:t xml:space="preserve">UPMC Health Network, Inc. (formerly UPMC Health Options)</w:t>
            </w:r>
          </w:p>
        </w:tc>
        <w:tc>
          <w:tcPr>
            <w:tcW w:type="dxa" w:w="1400"/>
          </w:tcPr>
          <w:p>
            <w:r>
              <w:t xml:space="preserve">+12.03%</w:t>
            </w:r>
          </w:p>
        </w:tc>
        <w:tc>
          <w:tcPr>
            <w:tcW w:type="dxa" w:w="4740"/>
          </w:tcPr>
          <w:p>
            <w:r>
              <w:t xml:space="preserve">Filing-stated rate change for 2027; range across plans is −1.07% to +22.72%. Affects 106,881 individuals per the filing. Drivers cited: medical/pharmacy cost and utilization increases and anticipated plan-liability impact from expiration of enhanced federal premium tax credits.</w:t>
            </w:r>
          </w:p>
        </w:tc>
      </w:tr>
      <w:tr>
        <w:tc>
          <w:tcPr>
            <w:tcW w:type="dxa" w:w="3200"/>
          </w:tcPr>
          <w:p>
            <w:r>
              <w:t xml:space="preserve">UPMC Health Plan, Inc.</w:t>
            </w:r>
          </w:p>
        </w:tc>
        <w:tc>
          <w:tcPr>
            <w:tcW w:type="dxa" w:w="1400"/>
          </w:tcPr>
          <w:p>
            <w:r>
              <w:t xml:space="preserve">+15.82%</w:t>
            </w:r>
          </w:p>
        </w:tc>
        <w:tc>
          <w:tcPr>
            <w:tcW w:type="dxa" w:w="4740"/>
          </w:tcPr>
          <w:p>
            <w:r>
              <w:t xml:space="preserve">Filing-stated rate change for 2027; range across plans is +2.99% to +16.76%. Affects 1,640 individuals per the filing. Same drivers cited as UPMC Health Network, Inc.</w:t>
            </w:r>
          </w:p>
        </w:tc>
      </w:tr>
    </w:tbl>
    <w:p>
      <w:pPr>
        <w:spacing w:after="160"/>
      </w:pPr>
      <w:r>
        <w:t xml:space="preserve"/>
      </w:r>
    </w:p>
    <w:p>
      <w:pPr>
        <w:pStyle w:val="Heading2"/>
        <w:spacing w:after="120" w:before="240"/>
      </w:pPr>
      <w:r>
        <w:t xml:space="preserve">Small Group Market — 2027 Filed Rate Changes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Highmark, Inc.</w:t>
            </w:r>
          </w:p>
        </w:tc>
        <w:tc>
          <w:tcPr>
            <w:tcW w:type="dxa" w:w="1400"/>
          </w:tcPr>
          <w:p>
            <w:r>
              <w:t xml:space="preserve">+15.57%</w:t>
            </w:r>
          </w:p>
        </w:tc>
        <w:tc>
          <w:tcPr>
            <w:tcW w:type="dxa" w:w="4740"/>
          </w:tcPr>
          <w:p>
            <w:r>
              <w:t xml:space="preserve">Aggregate requested small-group rate increase (SERFF #HGHM-134919607), driven primarily by projected trend and anticipated loss in rebate values. Covered lives as of 02/01/2025: 11,943 (7,349 policyholders).</w:t>
            </w:r>
          </w:p>
        </w:tc>
      </w:tr>
    </w:tbl>
    <w:p>
      <w:pPr>
        <w:spacing w:after="160"/>
      </w:pPr>
      <w:r>
        <w:t xml:space="preserve"/>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2026-09-08T06:07:55.313Z</dcterms:created>
  <dcterms:modified xsi:type="dcterms:W3CDTF">2026-09-08T06:07:55.313Z</dcterms:modified>
</cp:coreProperties>
</file>

<file path=docProps/custom.xml><?xml version="1.0" encoding="utf-8"?>
<Properties xmlns="http://schemas.openxmlformats.org/officeDocument/2006/custom-properties" xmlns:vt="http://schemas.openxmlformats.org/officeDocument/2006/docPropsVTypes"/>
</file>