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Pennsylvania Health Insurance Market Report — Rating Area 7</w:t>
      </w:r>
    </w:p>
    <w:p>
      <w:pPr>
        <w:spacing w:after="80"/>
      </w:pPr>
      <w:r>
        <w:rPr>
          <w:i/>
          <w:iCs/>
          <w:sz w:val="24"/>
          <w:szCs w:val="24"/>
        </w:rPr>
        <w:t xml:space="preserve">2027 Plan Year ACA-Compliant Individual and Small Group Market: Carrier Coverage and Filed Rate Changes</w:t>
      </w:r>
    </w:p>
    <w:p>
      <w:pPr>
        <w:spacing w:after="40"/>
      </w:pPr>
      <w:r>
        <w:rPr>
          <w:sz w:val="22"/>
          <w:szCs w:val="22"/>
        </w:rPr>
        <w:t xml:space="preserve">Prepared for the Ez_Insurance Pennsylvania Health Insurance Public Information Campaign</w:t>
      </w:r>
    </w:p>
    <w:p>
      <w:pPr>
        <w:spacing w:after="300"/>
      </w:pPr>
      <w:r>
        <w:rPr>
          <w:sz w:val="20"/>
          <w:szCs w:val="20"/>
        </w:rPr>
        <w:t xml:space="preserve">Report generated September 8, 2026. Reflects preliminary/requested rates as filed with the Pennsylvania Insurance Department; final approved rates are expected in fall 2026 and may differ from the figures below.</w:t>
      </w:r>
    </w:p>
    <w:p>
      <w:pPr>
        <w:pStyle w:val="Heading1"/>
        <w:spacing w:after="120" w:before="240"/>
      </w:pPr>
      <w:r>
        <w:t xml:space="preserve">1. Geographic Scope</w:t>
      </w:r>
    </w:p>
    <w:p>
      <w:pPr>
        <w:spacing w:after="160"/>
      </w:pPr>
      <w:r>
        <w:t xml:space="preserve">Rating Area 7 comprises the following 4 counties, as defined by the Commonwealth of Pennsylvania's federally filed geographic rating area structure (Centers for Medicare &amp; Medicaid Services [CMS], 2024):</w:t>
      </w:r>
    </w:p>
    <w:p>
      <w:pPr>
        <w:pStyle w:val="ListParagraph"/>
        <w:numPr>
          <w:ilvl w:val="0"/>
          <w:numId w:val="1"/>
        </w:numPr>
        <w:spacing w:after="80"/>
      </w:pPr>
      <w:r>
        <w:t xml:space="preserve">Adams</w:t>
      </w:r>
    </w:p>
    <w:p>
      <w:pPr>
        <w:pStyle w:val="ListParagraph"/>
        <w:numPr>
          <w:ilvl w:val="0"/>
          <w:numId w:val="1"/>
        </w:numPr>
        <w:spacing w:after="80"/>
      </w:pPr>
      <w:r>
        <w:t xml:space="preserve">York</w:t>
      </w:r>
    </w:p>
    <w:p>
      <w:pPr>
        <w:pStyle w:val="ListParagraph"/>
        <w:numPr>
          <w:ilvl w:val="0"/>
          <w:numId w:val="1"/>
        </w:numPr>
        <w:spacing w:after="80"/>
      </w:pPr>
      <w:r>
        <w:t xml:space="preserve">Lancaster</w:t>
      </w:r>
    </w:p>
    <w:p>
      <w:pPr>
        <w:pStyle w:val="ListParagraph"/>
        <w:numPr>
          <w:ilvl w:val="0"/>
          <w:numId w:val="1"/>
        </w:numPr>
        <w:spacing w:after="80"/>
      </w:pPr>
      <w:r>
        <w:t xml:space="preserve">Berks</w:t>
      </w:r>
    </w:p>
    <w:p>
      <w:pPr>
        <w:pStyle w:val="Heading1"/>
        <w:spacing w:after="120" w:before="240"/>
      </w:pPr>
      <w:r>
        <w:t xml:space="preserve">2. Statewide Context (2027 Plan Year)</w:t>
      </w:r>
    </w:p>
    <w:p>
      <w:pPr>
        <w:spacing w:after="160"/>
      </w:pPr>
      <w:r>
        <w:t xml:space="preserve">Pennsylvania's Affordable Care Act (ACA)-compliant health insurers submitted 2027 rate change requests to the Pennsylvania Insurance Department (PID) on May 15, 2026. Requested changes vary by plan and region and are subject to revision as PID completes its review; final approved rates are expected to be made public in fall 2026 (NorthcentralPa.com, 2026).</w:t>
      </w:r>
    </w:p>
    <w:p>
      <w:pPr>
        <w:spacing w:after="160"/>
      </w:pPr>
      <w:r>
        <w:t xml:space="preserve">Across the individual market statewide, PID's released filings show a total average requested increase of +17.1%, with company-level requests ranging from roughly +10.5% to +41% (Gaba, 2026; WHYY, 2026). The small-group market shows a statewide average requested increase of approximately +11% (Gaba, 2026). At least 13 marketplace insurers are expected to offer individual-market coverage in 2027; Highmark Coverage Advantage did not have a 2027 rate filing on record as of this review, raising the possibility that its enrollees are consolidated into another Highmark entity (HealthInsurance.org, 2026).</w:t>
      </w:r>
    </w:p>
    <w:p>
      <w:pPr>
        <w:spacing w:after="160"/>
      </w:pPr>
      <w:r>
        <w:t xml:space="preserve">A central driver cited across multiple 2027 filings is the expiration of enhanced federal Advance Premium Tax Credits (eAPTC) on December 31, 2025, following the end of the temporary enhancement enacted under the American Rescue Plan Act (ARPA). Several insurers (e.g., Capital Advantage Assurance Company, Keystone Health Plan East, UPMC Health Network) explicitly attribute a portion of their requested increase to anticipated morbidity deterioration and/or enrollment attrition tied to this expiration (Geisinger Health Plan, 2026; Capital Advantage Assurance Company, 2026). Separately, Pennsylvania's ACA exchange enrollment (via Pennie) was reported as down more than 10% year-over-year — roughly 48,000 fewer covered Pennsylvanians — as of July 2026, though the decline has been comparatively moderate relative to other states due to the state's Premium Alignment pricing approach (Gaba, 2026).</w:t>
      </w:r>
    </w:p>
    <w:p>
      <w:pPr>
        <w:spacing w:after="160"/>
      </w:pPr>
      <w:r>
        <w:t xml:space="preserve">One filing (Capital Advantage Assurance Company) also cites a 3.0% rate-change component attributed to fraudulent claims activity involving falsified Pennsylvania residency and misuse of tribal heritage status to obtain Marketplace enrollment, followed by rapid transport of enrollees to out-of-state substance use disorder treatment facilities for extended, high-cost billing cycles. The filing is explicit that this activity is attributed to third-party bad actors, not to enrollees themselves (Capital Advantage Assurance Company, 2026).</w:t>
      </w:r>
    </w:p>
    <w:p>
      <w:pPr>
        <w:pStyle w:val="Heading1"/>
        <w:spacing w:after="120" w:before="240"/>
      </w:pPr>
      <w:r>
        <w:t xml:space="preserve">3. Individual Market — Carriers Serving Rating Area 7</w:t>
      </w:r>
    </w:p>
    <w:p>
      <w:pPr>
        <w:spacing w:after="160"/>
      </w:pPr>
      <w:r>
        <w:t xml:space="preserve">The following carriers list at least one Rating Area 7 county in their 2027 individual-market coverage footprint, per PID's official coverage-area listing (Pennsylvania Insurance Department, n.d.-a). Filed rate changes are shown where a specific, sourced figure was confirmed during this research pass; carriers without a confirmed figure are marked "Not confirmed" rather than assigned an estimate.</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40"/>
      </w:tblGrid>
      <w:tr>
        <w:tc>
          <w:tcPr>
            <w:tcW w:type="dxa" w:w="3200"/>
            <w:shd w:fill="D9E2F3" w:val="clear"/>
          </w:tcPr>
          <w:p>
            <w:r>
              <w:rPr>
                <w:b/>
                <w:bCs/>
              </w:rPr>
              <w:t xml:space="preserve">Carrier</w:t>
            </w:r>
          </w:p>
        </w:tc>
        <w:tc>
          <w:tcPr>
            <w:tcW w:type="dxa" w:w="1400"/>
            <w:shd w:fill="D9E2F3" w:val="clear"/>
          </w:tcPr>
          <w:p>
            <w:r>
              <w:rPr>
                <w:b/>
                <w:bCs/>
              </w:rPr>
              <w:t xml:space="preserve">2027 Filed Rate Change</w:t>
            </w:r>
          </w:p>
        </w:tc>
        <w:tc>
          <w:tcPr>
            <w:tcW w:type="dxa" w:w="4740"/>
            <w:shd w:fill="D9E2F3" w:val="clear"/>
          </w:tcPr>
          <w:p>
            <w:r>
              <w:rPr>
                <w:b/>
                <w:bCs/>
              </w:rPr>
              <w:t xml:space="preserve">Notes / Source Basis</w:t>
            </w:r>
          </w:p>
        </w:tc>
      </w:tr>
      <w:tr>
        <w:tc>
          <w:tcPr>
            <w:tcW w:type="dxa" w:w="3200"/>
          </w:tcPr>
          <w:p>
            <w:r>
              <w:t xml:space="preserve">Ambetter Health of Pennsylvania, Inc.</w:t>
            </w:r>
          </w:p>
        </w:tc>
        <w:tc>
          <w:tcPr>
            <w:tcW w:type="dxa" w:w="1400"/>
          </w:tcPr>
          <w:p>
            <w:r>
              <w:t xml:space="preserve">Not confirmed</w:t>
            </w:r>
          </w:p>
        </w:tc>
        <w:tc>
          <w:tcPr>
            <w:tcW w:type="dxa" w:w="4740"/>
          </w:tcPr>
          <w:p>
            <w:r>
              <w:t xml:space="preserve">2027 filing describes rate-change components (single risk pool experience/morbidity +19.2%, unit cost trend +8.6%, benefit design/CSR −4.4% to +35.3% by plan, admin &amp; profit +2.4%) but no single aggregate figure was located in the primary excerpt reviewed. Secondary press coverage (WHYY) reports insurers in the Ambetter family requesting increases as high as ~40%; treat as unconfirmed against the primary SERFF filing until verified directly.</w:t>
            </w:r>
          </w:p>
        </w:tc>
      </w:tr>
      <w:tr>
        <w:tc>
          <w:tcPr>
            <w:tcW w:type="dxa" w:w="3200"/>
          </w:tcPr>
          <w:p>
            <w:r>
              <w:t xml:space="preserve">Ambetter Health Solutions of Pennsylvania, Inc.</w:t>
            </w:r>
          </w:p>
        </w:tc>
        <w:tc>
          <w:tcPr>
            <w:tcW w:type="dxa" w:w="1400"/>
          </w:tcPr>
          <w:p>
            <w:r>
              <w:t xml:space="preserve">Not confirmed</w:t>
            </w:r>
          </w:p>
        </w:tc>
        <w:tc>
          <w:tcPr>
            <w:tcW w:type="dxa" w:w="4740"/>
          </w:tcPr>
          <w:p>
            <w:r>
              <w:t xml:space="preserve">Companion filing to Ambetter Health of Pennsylvania, Inc.; carrier-specific aggregate not located in sources reviewed.</w:t>
            </w:r>
          </w:p>
        </w:tc>
      </w:tr>
      <w:tr>
        <w:tc>
          <w:tcPr>
            <w:tcW w:type="dxa" w:w="3200"/>
          </w:tcPr>
          <w:p>
            <w:r>
              <w:t xml:space="preserve">Capital Advantage Assurance Company</w:t>
            </w:r>
          </w:p>
        </w:tc>
        <w:tc>
          <w:tcPr>
            <w:tcW w:type="dxa" w:w="1400"/>
          </w:tcPr>
          <w:p>
            <w:r>
              <w:t xml:space="preserve">+18.3%</w:t>
            </w:r>
          </w:p>
        </w:tc>
        <w:tc>
          <w:tcPr>
            <w:tcW w:type="dxa" w:w="4740"/>
          </w:tcPr>
          <w:p>
            <w:r>
              <w:t xml:space="preserve">Aggregate annual rate change per PA Rate Exhibits Part IV, Table 11, cell AN13. Drivers: future cost/utilization +11.5%, 2025 claims net risk adjustment +5.8%, 2026 rate increase carryover −6.5%, reinsurance parameter change +1.5%, enhanced-subsidy expiration +3%, adjustment for fraudulent claims activity +3%.</w:t>
            </w:r>
          </w:p>
        </w:tc>
      </w:tr>
      <w:tr>
        <w:tc>
          <w:tcPr>
            <w:tcW w:type="dxa" w:w="3200"/>
          </w:tcPr>
          <w:p>
            <w:r>
              <w:t xml:space="preserve">Geisinger Health Plan</w:t>
            </w:r>
          </w:p>
        </w:tc>
        <w:tc>
          <w:tcPr>
            <w:tcW w:type="dxa" w:w="1400"/>
          </w:tcPr>
          <w:p>
            <w:r>
              <w:t xml:space="preserve">+10.5%</w:t>
            </w:r>
          </w:p>
        </w:tc>
        <w:tc>
          <w:tcPr>
            <w:tcW w:type="dxa" w:w="4740"/>
          </w:tcPr>
          <w:p>
            <w:r>
              <w:t xml:space="preserve">Aggregate rate change (Table 11, cell AN13); varies by plan from +6.2% to +13.2%. Filing notes 2026 enrollment grew rather than shrank after the December 2025 enhanced-subsidy expiration, with an estimated 1.0% morbidity adjustment applied.</w:t>
            </w:r>
          </w:p>
        </w:tc>
      </w:tr>
      <w:tr>
        <w:tc>
          <w:tcPr>
            <w:tcW w:type="dxa" w:w="3200"/>
          </w:tcPr>
          <w:p>
            <w:r>
              <w:t xml:space="preserve">Geisinger Quality Options</w:t>
            </w:r>
          </w:p>
        </w:tc>
        <w:tc>
          <w:tcPr>
            <w:tcW w:type="dxa" w:w="1400"/>
          </w:tcPr>
          <w:p>
            <w:r>
              <w:t xml:space="preserve">Not confirmed</w:t>
            </w:r>
          </w:p>
        </w:tc>
        <w:tc>
          <w:tcPr>
            <w:tcW w:type="dxa" w:w="4740"/>
          </w:tcPr>
          <w:p>
            <w:r>
              <w:t xml:space="preserve">Companion filing to Geisinger Health Plan; carrier-specific aggregate not separately located in sources reviewed.</w:t>
            </w:r>
          </w:p>
        </w:tc>
      </w:tr>
      <w:tr>
        <w:tc>
          <w:tcPr>
            <w:tcW w:type="dxa" w:w="3200"/>
          </w:tcPr>
          <w:p>
            <w:r>
              <w:t xml:space="preserve">Highmark, Inc.</w:t>
            </w:r>
          </w:p>
        </w:tc>
        <w:tc>
          <w:tcPr>
            <w:tcW w:type="dxa" w:w="1400"/>
          </w:tcPr>
          <w:p>
            <w:r>
              <w:t xml:space="preserve">Not confirmed</w:t>
            </w:r>
          </w:p>
        </w:tc>
        <w:tc>
          <w:tcPr>
            <w:tcW w:type="dxa" w:w="4740"/>
          </w:tcPr>
          <w:p>
            <w:r>
              <w:t xml:space="preserve">Individual-market rate figure not located in sources reviewed. Note: Highmark, Inc.'s confirmed 15.57% figure is from its separate small-group filing (see small-group table) and should not be applied to individual-market plans.</w:t>
            </w:r>
          </w:p>
        </w:tc>
      </w:tr>
      <w:tr>
        <w:tc>
          <w:tcPr>
            <w:tcW w:type="dxa" w:w="3200"/>
          </w:tcPr>
          <w:p>
            <w:r>
              <w:t xml:space="preserve">Keystone Health Plan Central</w:t>
            </w:r>
          </w:p>
        </w:tc>
        <w:tc>
          <w:tcPr>
            <w:tcW w:type="dxa" w:w="1400"/>
          </w:tcPr>
          <w:p>
            <w:r>
              <w:t xml:space="preserve">+33.8%</w:t>
            </w:r>
          </w:p>
        </w:tc>
        <w:tc>
          <w:tcPr>
            <w:tcW w:type="dxa" w:w="4740"/>
          </w:tcPr>
          <w:p>
            <w:r>
              <w:t xml:space="preserve">Aggregate annual rate change (Table 11, cell AN13). Drivers: future cost/utilization +11.8%, 2025 claims net risk adjustment +27%, 2026 rate increase carryover −6.5%, reinsurance parameter change +1.5%.</w:t>
            </w:r>
          </w:p>
        </w:tc>
      </w:tr>
      <w:tr>
        <w:tc>
          <w:tcPr>
            <w:tcW w:type="dxa" w:w="3200"/>
          </w:tcPr>
          <w:p>
            <w:r>
              <w:t xml:space="preserve">Oscar Health Plan of Pennsylvania, Inc.</w:t>
            </w:r>
          </w:p>
        </w:tc>
        <w:tc>
          <w:tcPr>
            <w:tcW w:type="dxa" w:w="1400"/>
          </w:tcPr>
          <w:p>
            <w:r>
              <w:t xml:space="preserve">Not confirmed</w:t>
            </w:r>
          </w:p>
        </w:tc>
        <w:tc>
          <w:tcPr>
            <w:tcW w:type="dxa" w:w="4740"/>
          </w:tcPr>
          <w:p>
            <w:r>
              <w:t xml:space="preserve">Coverage area confirmed via PID's 2027 coverage-area listing; rate-change figure not located in sources reviewed.</w:t>
            </w:r>
          </w:p>
        </w:tc>
      </w:tr>
    </w:tbl>
    <w:p>
      <w:pPr>
        <w:spacing w:after="160"/>
      </w:pPr>
      <w:r>
        <w:t xml:space="preserve"/>
      </w:r>
    </w:p>
    <w:p>
      <w:pPr>
        <w:pStyle w:val="Heading2"/>
        <w:spacing w:after="120" w:before="240"/>
      </w:pPr>
      <w:r>
        <w:t xml:space="preserve">Small Group Market — 2027 Filed Rate Changes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40"/>
      </w:tblGrid>
      <w:tr>
        <w:tc>
          <w:tcPr>
            <w:tcW w:type="dxa" w:w="3200"/>
            <w:shd w:fill="D9E2F3" w:val="clear"/>
          </w:tcPr>
          <w:p>
            <w:r>
              <w:rPr>
                <w:b/>
                <w:bCs/>
              </w:rPr>
              <w:t xml:space="preserve">Carrier</w:t>
            </w:r>
          </w:p>
        </w:tc>
        <w:tc>
          <w:tcPr>
            <w:tcW w:type="dxa" w:w="1400"/>
            <w:shd w:fill="D9E2F3" w:val="clear"/>
          </w:tcPr>
          <w:p>
            <w:r>
              <w:rPr>
                <w:b/>
                <w:bCs/>
              </w:rPr>
              <w:t xml:space="preserve">2027 Filed Rate Change</w:t>
            </w:r>
          </w:p>
        </w:tc>
        <w:tc>
          <w:tcPr>
            <w:tcW w:type="dxa" w:w="4740"/>
            <w:shd w:fill="D9E2F3" w:val="clear"/>
          </w:tcPr>
          <w:p>
            <w:r>
              <w:rPr>
                <w:b/>
                <w:bCs/>
              </w:rPr>
              <w:t xml:space="preserve">Notes / Source Basis</w:t>
            </w:r>
          </w:p>
        </w:tc>
      </w:tr>
      <w:tr>
        <w:tc>
          <w:tcPr>
            <w:tcW w:type="dxa" w:w="3200"/>
          </w:tcPr>
          <w:p>
            <w:r>
              <w:t xml:space="preserve">Highmark, Inc.</w:t>
            </w:r>
          </w:p>
        </w:tc>
        <w:tc>
          <w:tcPr>
            <w:tcW w:type="dxa" w:w="1400"/>
          </w:tcPr>
          <w:p>
            <w:r>
              <w:t xml:space="preserve">+15.57%</w:t>
            </w:r>
          </w:p>
        </w:tc>
        <w:tc>
          <w:tcPr>
            <w:tcW w:type="dxa" w:w="4740"/>
          </w:tcPr>
          <w:p>
            <w:r>
              <w:t xml:space="preserve">Aggregate requested small-group rate increase (SERFF #HGHM-134919607), driven primarily by projected trend and anticipated loss in rebate values. Covered lives as of 02/01/2025: 11,943 (7,349 policyholders).</w:t>
            </w:r>
          </w:p>
        </w:tc>
      </w:tr>
    </w:tbl>
    <w:p>
      <w:pPr>
        <w:spacing w:after="160"/>
      </w:pPr>
      <w:r>
        <w:t xml:space="preserve"/>
      </w:r>
    </w:p>
    <w:p>
      <w:pPr>
        <w:pStyle w:val="Heading1"/>
        <w:spacing w:after="120" w:before="240"/>
      </w:pPr>
      <w:r>
        <w:t xml:space="preserve">4. Verification Notes</w:t>
      </w:r>
    </w:p>
    <w:p>
      <w:pPr>
        <w:spacing w:after="160"/>
      </w:pPr>
      <w:r>
        <w:rPr>
          <w:i/>
          <w:iCs/>
        </w:rPr>
        <w:t xml:space="preserve">This report cross-references two independent PID/CMS source sets — the federal geographic rating area definition and PID's own 2027 coverage-area listing — rather than relying on a single secondary compilation. One material correction was made during this research pass: a preliminary review misattributed a rating-area service description (rating areas 2, 3, 5, 6, 7, 9) to Ambetter Health of Pennsylvania based on a truncated search snippet; the full primary-source text confirmed that description actually belongs to Geisinger Health Plan. This report reflects the corrected attribution.</w:t>
      </w:r>
    </w:p>
    <w:p>
      <w:pPr>
        <w:spacing w:after="160"/>
      </w:pPr>
      <w:r>
        <w:rPr>
          <w:i/>
          <w:iCs/>
        </w:rPr>
        <w:t xml:space="preserve">Figures marked "Not confirmed" in the tables above reflect the limits of the sources reviewed in this pass, not an assertion that no rate change was filed. Before these are cited publicly, confirm directly against the carrier's actuarial memorandum on PID's Search Insurance Company Filings tool.</w:t>
      </w:r>
    </w:p>
    <w:p>
      <w:pPr>
        <w:pStyle w:val="Heading1"/>
        <w:spacing w:after="120" w:before="240"/>
      </w:pPr>
      <w:r>
        <w:t xml:space="preserve">References</w:t>
      </w:r>
    </w:p>
    <w:p>
      <w:pPr>
        <w:spacing w:after="200"/>
        <w:ind w:left="720" w:hanging="720"/>
      </w:pPr>
      <w:r>
        <w:t xml:space="preserve">Capital Advantage Assurance Company. (2026). 2027 ACA rate filing, individual market [Actuarial memorandum]. Pennsylvania Insurance Department.</w:t>
      </w:r>
    </w:p>
    <w:p>
      <w:pPr>
        <w:spacing w:after="200"/>
        <w:ind w:left="720" w:hanging="720"/>
      </w:pPr>
      <w:r>
        <w:t xml:space="preserve">Centers for Medicare &amp; Medicaid Services. (2024, September 10). Pennsylvania geographic rating areas: Including state specific geographic divisions. CMS.gov. https://www.cms.gov/cciio/programs-and-initiatives/health-insurance-market-reforms/pa-gra</w:t>
      </w:r>
    </w:p>
    <w:p>
      <w:pPr>
        <w:spacing w:after="200"/>
        <w:ind w:left="720" w:hanging="720"/>
      </w:pPr>
      <w:r>
        <w:t xml:space="preserve">Gaba, C. (2026, July 27). 2027 rate changes – Pennsylvania: +17.1% indy mkt; +11% sm. group mkt. ACA Signups. https://acasignups.net/rate_changes/2027/pa</w:t>
      </w:r>
    </w:p>
    <w:p>
      <w:pPr>
        <w:spacing w:after="200"/>
        <w:ind w:left="720" w:hanging="720"/>
      </w:pPr>
      <w:r>
        <w:t xml:space="preserve">Geisinger Health Plan. (2026). 2027 ACA rate filing, individual market [Actuarial memorandum]. Pennsylvania Insurance Department.</w:t>
      </w:r>
    </w:p>
    <w:p>
      <w:pPr>
        <w:spacing w:after="200"/>
        <w:ind w:left="720" w:hanging="720"/>
      </w:pPr>
      <w:r>
        <w:t xml:space="preserve">HealthInsurance.org. (2026). Pennsylvania health insurance marketplace: 2026 ACA coverage guide. https://www.healthinsurance.org/aca-marketplace/pennsylvania/</w:t>
      </w:r>
    </w:p>
    <w:p>
      <w:pPr>
        <w:spacing w:after="200"/>
        <w:ind w:left="720" w:hanging="720"/>
      </w:pPr>
      <w:r>
        <w:t xml:space="preserve">Highmark, Inc. (2026, May 15). 2027 ACA rate filing, small group market [Actuarial memorandum, SERFF #HGHM-134919607]. Pennsylvania Insurance Department. https://www.pa.gov/content/dam/copapwp-pagov/en/insurance/documents/posted-filings-reports-orders/aca-health-rate-filings/plan-year-2027/small-group-market/highmark-rate-change-summary-sm-grp-mkt.pdf</w:t>
      </w:r>
    </w:p>
    <w:p>
      <w:pPr>
        <w:spacing w:after="200"/>
        <w:ind w:left="720" w:hanging="720"/>
      </w:pPr>
      <w:r>
        <w:t xml:space="preserve">Keystone Health Plan Central. (2026). 2027 ACA rate filing, individual market [Actuarial memorandum]. Pennsylvania Insurance Department.</w:t>
      </w:r>
    </w:p>
    <w:p>
      <w:pPr>
        <w:spacing w:after="200"/>
        <w:ind w:left="720" w:hanging="720"/>
      </w:pPr>
      <w:r>
        <w:t xml:space="preserve">Keystone Health Plan East. (2026). 2027 ACA rate filing, individual market [Actuarial memorandum]. Pennsylvania Insurance Department.</w:t>
      </w:r>
    </w:p>
    <w:p>
      <w:pPr>
        <w:spacing w:after="200"/>
        <w:ind w:left="720" w:hanging="720"/>
      </w:pPr>
      <w:r>
        <w:t xml:space="preserve">NorthcentralPa.com. (2026). Pa. health insurers submit 2027 rate increase proposals to Insurance Department. https://www.northcentralpa.com/news/pa-health-insurers-submit-2027-rate-increase-proposals-to-insurance-department/article_ee59ecf3-37e7-4e07-9012-59eaa8f62823.html</w:t>
      </w:r>
    </w:p>
    <w:p>
      <w:pPr>
        <w:spacing w:after="200"/>
        <w:ind w:left="720" w:hanging="720"/>
      </w:pPr>
      <w:r>
        <w:t xml:space="preserve">Partners Insurance Company (dba Jefferson Health Plans). (2026, May 13). Pennsylvania individual health insurance 2027 premium rate filing [Actuarial memorandum, SERFF #PICI-134951749]. Wakely Consulting Group / Pennsylvania Insurance Department.</w:t>
      </w:r>
    </w:p>
    <w:p>
      <w:pPr>
        <w:spacing w:after="200"/>
        <w:ind w:left="720" w:hanging="720"/>
      </w:pPr>
      <w:r>
        <w:t xml:space="preserve">Pennsylvania Insurance Department. (n.d.-a). Coverage areas for 2027 individual market plans. Commonwealth of Pennsylvania. https://www.pa.gov/agencies/insurance/posted-filings-reports-company-orders/posted-product-and-rate-filings/aca-health-rate-filings/coverage-areas-individual-market</w:t>
      </w:r>
    </w:p>
    <w:p>
      <w:pPr>
        <w:spacing w:after="200"/>
        <w:ind w:left="720" w:hanging="720"/>
      </w:pPr>
      <w:r>
        <w:t xml:space="preserve">Pennsylvania Insurance Department. (n.d.-b). Coverage areas for 2027 small group market plans. Commonwealth of Pennsylvania. https://www.pa.gov/agencies/insurance/posted-filings-reports-company-orders/posted-product-and-rate-filings/aca-health-rate-filings/coverage-areas-small-group-market</w:t>
      </w:r>
    </w:p>
    <w:p>
      <w:pPr>
        <w:spacing w:after="200"/>
        <w:ind w:left="720" w:hanging="720"/>
      </w:pPr>
      <w:r>
        <w:t xml:space="preserve">Pennsylvania Insurance Department. (n.d.-c). PY2027 ACA-compliant health insurance rate filing guidance. https://www.pa.gov/content/dam/copapwp-pagov/en/insurance/documents/Filing-Reporting-Requirements/product-rate-filings/aca-information/rate-guidance.pdf</w:t>
      </w:r>
    </w:p>
    <w:p>
      <w:pPr>
        <w:spacing w:after="200"/>
        <w:ind w:left="720" w:hanging="720"/>
      </w:pPr>
      <w:r>
        <w:t xml:space="preserve">UPMC Health Network, Inc. (2026). 2027 ACA rate filing, individual market [Actuarial memorandum]. Pennsylvania Insurance Department.</w:t>
      </w:r>
    </w:p>
    <w:p>
      <w:pPr>
        <w:spacing w:after="200"/>
        <w:ind w:left="720" w:hanging="720"/>
      </w:pPr>
      <w:r>
        <w:t xml:space="preserve">UPMC Health Plan, Inc. (2026). 2027 ACA rate filing, individual market [Actuarial memorandum]. Pennsylvania Insurance Department.</w:t>
      </w:r>
    </w:p>
    <w:p>
      <w:pPr>
        <w:spacing w:after="200"/>
        <w:ind w:left="720" w:hanging="720"/>
      </w:pPr>
      <w:r>
        <w:t xml:space="preserve">WHYY. (2026). Pennsylvania ACA health insurers propose double-digit premium increases for 2027. https://whyy.org/articles/premium-increases-2027-pennie-pennsylvania-aca/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2026-09-08T06:07:55.366Z</dcterms:created>
  <dcterms:modified xsi:type="dcterms:W3CDTF">2026-09-08T06:07:55.366Z</dcterms:modified>
</cp:coreProperties>
</file>

<file path=docProps/custom.xml><?xml version="1.0" encoding="utf-8"?>
<Properties xmlns="http://schemas.openxmlformats.org/officeDocument/2006/custom-properties" xmlns:vt="http://schemas.openxmlformats.org/officeDocument/2006/docPropsVTypes"/>
</file>