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8</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8 comprises the following 5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Chester</w:t>
      </w:r>
    </w:p>
    <w:p>
      <w:pPr>
        <w:pStyle w:val="ListParagraph"/>
        <w:numPr>
          <w:ilvl w:val="0"/>
          <w:numId w:val="1"/>
        </w:numPr>
        <w:spacing w:after="80"/>
      </w:pPr>
      <w:r>
        <w:t xml:space="preserve">Delaware</w:t>
      </w:r>
    </w:p>
    <w:p>
      <w:pPr>
        <w:pStyle w:val="ListParagraph"/>
        <w:numPr>
          <w:ilvl w:val="0"/>
          <w:numId w:val="1"/>
        </w:numPr>
        <w:spacing w:after="80"/>
      </w:pPr>
      <w:r>
        <w:t xml:space="preserve">Montgomery</w:t>
      </w:r>
    </w:p>
    <w:p>
      <w:pPr>
        <w:pStyle w:val="ListParagraph"/>
        <w:numPr>
          <w:ilvl w:val="0"/>
          <w:numId w:val="1"/>
        </w:numPr>
        <w:spacing w:after="80"/>
      </w:pPr>
      <w:r>
        <w:t xml:space="preserve">Bucks</w:t>
      </w:r>
    </w:p>
    <w:p>
      <w:pPr>
        <w:pStyle w:val="ListParagraph"/>
        <w:numPr>
          <w:ilvl w:val="0"/>
          <w:numId w:val="1"/>
        </w:numPr>
        <w:spacing w:after="80"/>
      </w:pPr>
      <w:r>
        <w:t xml:space="preserve">Philadelphia</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8</w:t>
      </w:r>
    </w:p>
    <w:p>
      <w:pPr>
        <w:spacing w:after="160"/>
      </w:pPr>
      <w:r>
        <w:t xml:space="preserve">The following carriers list at least one Rating Area 8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Health Partners Plans,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r>
        <w:tc>
          <w:tcPr>
            <w:tcW w:type="dxa" w:w="3200"/>
          </w:tcPr>
          <w:p>
            <w:r>
              <w:t xml:space="preserve">Highmark Benefits Group</w:t>
            </w:r>
          </w:p>
        </w:tc>
        <w:tc>
          <w:tcPr>
            <w:tcW w:type="dxa" w:w="1400"/>
          </w:tcPr>
          <w:p>
            <w:r>
              <w:t xml:space="preserve">Not confirmed</w:t>
            </w:r>
          </w:p>
        </w:tc>
        <w:tc>
          <w:tcPr>
            <w:tcW w:type="dxa" w:w="4740"/>
          </w:tcPr>
          <w:p>
            <w:r>
              <w:t xml:space="preserve">Coverage area confirmed via PID's 2027 coverage-area listing; individual-market rate figure not located in sources reviewed (Highmark, Inc.'s confirmed 15.57% figure applies to its small-group filing — see small-group table).</w:t>
            </w:r>
          </w:p>
        </w:tc>
      </w:tr>
      <w:tr>
        <w:tc>
          <w:tcPr>
            <w:tcW w:type="dxa" w:w="3200"/>
          </w:tcPr>
          <w:p>
            <w:r>
              <w:t xml:space="preserve">Keystone Health Plan East</w:t>
            </w:r>
          </w:p>
        </w:tc>
        <w:tc>
          <w:tcPr>
            <w:tcW w:type="dxa" w:w="1400"/>
          </w:tcPr>
          <w:p>
            <w:r>
              <w:t xml:space="preserve">+14.7%</w:t>
            </w:r>
          </w:p>
        </w:tc>
        <w:tc>
          <w:tcPr>
            <w:tcW w:type="dxa" w:w="4740"/>
          </w:tcPr>
          <w:p>
            <w:r>
              <w:t xml:space="preserve">Average proposed rate change (Table 11, cell AN13). Filing estimates rates would run roughly 2% lower had enhanced federal premium tax credits been restored, due to improved projected risk-pool morbidity.</w:t>
            </w:r>
          </w:p>
        </w:tc>
      </w:tr>
      <w:tr>
        <w:tc>
          <w:tcPr>
            <w:tcW w:type="dxa" w:w="3200"/>
          </w:tcPr>
          <w:p>
            <w:r>
              <w:t xml:space="preserve">Oscar Health Plan of Pennsylvania,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r>
        <w:tc>
          <w:tcPr>
            <w:tcW w:type="dxa" w:w="3200"/>
          </w:tcPr>
          <w:p>
            <w:r>
              <w:t xml:space="preserve">Partners Insurance Company, Inc. (dba Jefferson Health Plans)</w:t>
            </w:r>
          </w:p>
        </w:tc>
        <w:tc>
          <w:tcPr>
            <w:tcW w:type="dxa" w:w="1400"/>
          </w:tcPr>
          <w:p>
            <w:r>
              <w:t xml:space="preserve">Not confirmed</w:t>
            </w:r>
          </w:p>
        </w:tc>
        <w:tc>
          <w:tcPr>
            <w:tcW w:type="dxa" w:w="4740"/>
          </w:tcPr>
          <w:p>
            <w:r>
              <w:t xml:space="preserve">Actuarial memorandum (filed May 13, 2026, SERFF #PICI-134951749) was located, but the specific aggregate percentage was not confirmed in the excerpt reviewed; a companion reference in PID records notes '8 plans in 2027' with no stated change from 2026 for a related filing (#PICI-134915629) — carrier should be asked to confirm which figure applies before citing a number publicly.</w:t>
            </w:r>
          </w:p>
        </w:tc>
      </w:tr>
      <w:tr>
        <w:tc>
          <w:tcPr>
            <w:tcW w:type="dxa" w:w="3200"/>
          </w:tcPr>
          <w:p>
            <w:r>
              <w:t xml:space="preserve">QCC Insurance Company</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Independence Assurance Company</w:t>
            </w:r>
          </w:p>
        </w:tc>
        <w:tc>
          <w:tcPr>
            <w:tcW w:type="dxa" w:w="1400"/>
          </w:tcPr>
          <w:p>
            <w:r>
              <w:t xml:space="preserve">+8.95%</w:t>
            </w:r>
          </w:p>
        </w:tc>
        <w:tc>
          <w:tcPr>
            <w:tcW w:type="dxa" w:w="4740"/>
          </w:tcPr>
          <w:p>
            <w:r>
              <w:t xml:space="preserve">Aggregate requested small-group rate increase, per PID's 2027 filing summary reported by NorthcentralPa.com.</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2026-09-08T06:07:55.384Z</dcterms:created>
  <dcterms:modified xsi:type="dcterms:W3CDTF">2026-09-08T06:07:55.384Z</dcterms:modified>
</cp:coreProperties>
</file>

<file path=docProps/custom.xml><?xml version="1.0" encoding="utf-8"?>
<Properties xmlns="http://schemas.openxmlformats.org/officeDocument/2006/custom-properties" xmlns:vt="http://schemas.openxmlformats.org/officeDocument/2006/docPropsVTypes"/>
</file>