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2026 Pennsylvania Health Insurance Market Data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🗺️ Part 1: Official ACA Rating Area County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Included Counties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Northwest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Clarion, Crawford, Erie, Forest, McKean, Mercer, Venango, Warren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Southwest Rural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Elk, Cameron, Potter (and surrounding rural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Northeast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Bradford, Carbon, Clinton, Lackawanna, Luzerne, Lycoming, Monroe, Pike, Sullivan, Susquehanna, Tioga, Wayne, Wyoming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Pittsburgh Metro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Allegheny, Armstrong, Beaver, Butler, Fayette, Greene, Indiana, Lawrence, Washington, Westmoreland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 Mountains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Bedford, Blair, Cambria, Clearfield, Huntingdon, Jefferson, Somerset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Lehigh Valley / Centre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Centre, Columbia, Lehigh, Mifflin, Montour, Northampton, Northumberland, Schuylkill, Snyder,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South Central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Adams, Berks, Lancaster, York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Philadelphia Metro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Bucks, Chester, Delaware, Montgomery, Philadelphia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Capital Region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Cumberland, Dauphin, Franklin, Fulton, Juniata, Lebanon, Perry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Part 2: Finalized 2026 Rate Decisions (Individual Market)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Approved by PID October 2025. Effective January 1, 2026.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Approved 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Rating Areas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PID-Cited Reason for Adjustment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Ambetter Health (PA)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+37.8%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1, 2, 3, 4, 5, 6, 7, 8, 9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Worsening morbidity (disease burden)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UPMC Health Options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+20.2%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1, 2, 3, 4, 5, 6, 7, 9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Federal regulatory changes &amp; drug trends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Keystone Central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+22.4%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6, 7, 9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Increased medical/hospital costs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Keystone East (IBX)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+22.0%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Utilization shifts &amp; network costs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Advantage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+24.6%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6, 7, 9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Clinical utilization spikes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Oscar Health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+23.1%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3, 6, 7, 8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pool instability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Highmark Inc.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+17.7%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1, 2, 4, 5, 6, 7, 9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Market-wide stabilization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Highmark Coverage Adv.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+14.5%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Northwest/Pittsburgh network rates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Geisinger Health Plan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+11.6%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2, 3, 5, 6, 7, 9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 with Geisinger clinical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 Insurance Co.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-10.1%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3, 6, 8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approved rate decrease in PA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📋 Part 3: Professional Publication Summary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The Statewide Average</w:t>
      </w:r>
      <w:r w:rsidDel="00000000" w:rsidR="00000000" w:rsidRPr="00000000">
        <w:rPr>
          <w:rtl w:val="0"/>
        </w:rPr>
        <w:t xml:space="preserve"> The weighted average increase across all individual plans is </w:t>
      </w:r>
      <w:r w:rsidDel="00000000" w:rsidR="00000000" w:rsidRPr="00000000">
        <w:rPr>
          <w:b w:val="1"/>
          <w:bCs w:val="1"/>
          <w:rtl w:val="0"/>
        </w:rPr>
        <w:t xml:space="preserve">21.5%</w:t>
      </w:r>
      <w:r w:rsidDel="00000000" w:rsidR="00000000" w:rsidRPr="00000000">
        <w:rPr>
          <w:rtl w:val="0"/>
        </w:rPr>
        <w:t xml:space="preserve">. This is driven by three factors: the expiration of Enhanced Premium Tax Credits (EPTC), rising costs of specialty medications (specifically GLP-1s), and the return to standard CSR (Cost-Sharing Reduction) defunding adjustments.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The Geographic "Hot Zone"</w:t>
      </w:r>
      <w:r w:rsidDel="00000000" w:rsidR="00000000" w:rsidRPr="00000000">
        <w:rPr>
          <w:rtl w:val="0"/>
        </w:rPr>
        <w:t xml:space="preserve"> Philadelphia (</w:t>
      </w:r>
      <w:r w:rsidDel="00000000" w:rsidR="00000000" w:rsidRPr="00000000">
        <w:rPr>
          <w:b w:val="1"/>
          <w:bCs w:val="1"/>
          <w:rtl w:val="0"/>
        </w:rPr>
        <w:t xml:space="preserve">Area 8</w:t>
      </w:r>
      <w:r w:rsidDel="00000000" w:rsidR="00000000" w:rsidRPr="00000000">
        <w:rPr>
          <w:rtl w:val="0"/>
        </w:rPr>
        <w:t xml:space="preserve">) represents the highest financial volatility. With Ambetter increasing by nearly </w:t>
      </w:r>
      <w:r w:rsidDel="00000000" w:rsidR="00000000" w:rsidRPr="00000000">
        <w:rPr>
          <w:b w:val="1"/>
          <w:bCs w:val="1"/>
          <w:rtl w:val="0"/>
        </w:rPr>
        <w:t xml:space="preserve">38%</w:t>
      </w:r>
      <w:r w:rsidDel="00000000" w:rsidR="00000000" w:rsidRPr="00000000">
        <w:rPr>
          <w:rtl w:val="0"/>
        </w:rPr>
        <w:t xml:space="preserve"> and the primary carrier (Keystone) increasing by </w:t>
      </w:r>
      <w:r w:rsidDel="00000000" w:rsidR="00000000" w:rsidRPr="00000000">
        <w:rPr>
          <w:b w:val="1"/>
          <w:bCs w:val="1"/>
          <w:rtl w:val="0"/>
        </w:rPr>
        <w:t xml:space="preserve">22%</w:t>
      </w:r>
      <w:r w:rsidDel="00000000" w:rsidR="00000000" w:rsidRPr="00000000">
        <w:rPr>
          <w:rtl w:val="0"/>
        </w:rPr>
        <w:t xml:space="preserve">, residents in this region face the most significant premium-to-income ratio shift in the Commonwealth.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The Competition Anomaly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Area 3</w:t>
      </w:r>
      <w:r w:rsidDel="00000000" w:rsidR="00000000" w:rsidRPr="00000000">
        <w:rPr>
          <w:rtl w:val="0"/>
        </w:rPr>
        <w:t xml:space="preserve"> (Northeast) is the most competitive region in 2026. While Oscar is increasing by </w:t>
      </w:r>
      <w:r w:rsidDel="00000000" w:rsidR="00000000" w:rsidRPr="00000000">
        <w:rPr>
          <w:b w:val="1"/>
          <w:bCs w:val="1"/>
          <w:rtl w:val="0"/>
        </w:rPr>
        <w:t xml:space="preserve">23.1%</w:t>
      </w:r>
      <w:r w:rsidDel="00000000" w:rsidR="00000000" w:rsidRPr="00000000">
        <w:rPr>
          <w:rtl w:val="0"/>
        </w:rPr>
        <w:t xml:space="preserve">, Partners Insurance Company (Jefferson Health Plans) is offering a </w:t>
      </w:r>
      <w:r w:rsidDel="00000000" w:rsidR="00000000" w:rsidRPr="00000000">
        <w:rPr>
          <w:b w:val="1"/>
          <w:bCs w:val="1"/>
          <w:rtl w:val="0"/>
        </w:rPr>
        <w:t xml:space="preserve">10.1% decrease</w:t>
      </w:r>
      <w:r w:rsidDel="00000000" w:rsidR="00000000" w:rsidRPr="00000000">
        <w:rPr>
          <w:rtl w:val="0"/>
        </w:rPr>
        <w:t xml:space="preserve">, creating a unique opportunity for consumers to switch carriers and potentially lower their 2025 rates despite the statewide inflationary trend.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Clinical Compliance (GLP-1s)</w:t>
      </w:r>
      <w:r w:rsidDel="00000000" w:rsidR="00000000" w:rsidRPr="00000000">
        <w:rPr>
          <w:rtl w:val="0"/>
        </w:rPr>
        <w:t xml:space="preserve"> Effective January 1, 2026, most carriers have moved GLP-1 agonists (Wegovy, Zepbound) to a "Prior Authorization Required" status regardless of previous approval. New medical necessity documentation must include a BMI \ge 30 or a BMI \ge 27 with a specific cardiovascular or sleep apnea comorbidity to maintain coverage.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