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Automated Reinforcement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P23-V0144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Bao Tran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2305022036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CIDP-2789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>
            <w:r>
              <w:rPr>
                <w:sz w:val="20"/>
              </w:rPr>
              <w:t>CIDP-2789 Versioning for release 2024-WIP-5</w:t>
            </w:r>
          </w:p>
        </w:tc>
        <w:tc>
          <w:tcPr>
            <w:tcW w:w="2154" w:type="dxa"/>
            <w:gridSpan w:val="3"/>
          </w:tcPr>
          <w:p>
            <w:r>
              <w:rPr>
                <w:sz w:val="20"/>
              </w:rPr>
              <w:t>UI/UX +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>
            <w:r>
              <w:rPr>
                <w:sz w:val="20"/>
              </w:rPr>
              <w:t>Testing with Allplan 2023 Verification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