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Перечень задач по итогам встречи 1</w:t>
      </w:r>
    </w:p>
    <w:p>
      <w:pPr>
        <w:jc w:val="center"/>
      </w:pPr>
      <w:r>
        <w:rPr>
          <w:i/>
          <w:sz w:val="20"/>
        </w:rPr>
        <w:t>Индвиго CRM / рабочий реестр задач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AF2F8"/>
          </w:tcPr>
          <w:p>
            <w:r>
              <w:rPr>
                <w:b/>
              </w:rPr>
              <w:t>Статус документа</w:t>
            </w:r>
          </w:p>
          <w:p>
            <w:r>
              <w:t>Реестр задач собран из PDF-протокола и транскрипта. Сроки и ответственные сохранены там, где они были явно указаны; спорные или отсутствующие сроки помечены как “уточнить”.</w:t>
            </w:r>
          </w:p>
        </w:tc>
      </w:tr>
    </w:tbl>
    <w:p>
      <w:pPr>
        <w:pStyle w:val="Heading1"/>
      </w:pPr>
      <w:r>
        <w:t>1. Приоритеты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AF7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5270"/>
            <w:shd w:fill="D9EAF7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5270"/>
            <w:vAlign w:val="top"/>
          </w:tcPr>
          <w:p>
            <w:r>
              <w:t>Критично до следующей встречи</w:t>
            </w:r>
          </w:p>
        </w:tc>
        <w:tc>
          <w:tcPr>
            <w:tcW w:type="dxa" w:w="5270"/>
            <w:vAlign w:val="top"/>
          </w:tcPr>
          <w:p>
            <w:r>
              <w:t>CJM/CGM, источники входа, сегментация, метрики/отчеты, регламенты продаж, контроль оплаты.</w:t>
            </w:r>
          </w:p>
        </w:tc>
      </w:tr>
      <w:tr>
        <w:tc>
          <w:tcPr>
            <w:tcW w:type="dxa" w:w="5270"/>
            <w:vAlign w:val="top"/>
          </w:tcPr>
          <w:p>
            <w:r>
              <w:t>Желательно после MVP</w:t>
            </w:r>
          </w:p>
        </w:tc>
        <w:tc>
          <w:tcPr>
            <w:tcW w:type="dxa" w:w="5270"/>
            <w:vAlign w:val="top"/>
          </w:tcPr>
          <w:p>
            <w:r>
              <w:t>Подсказки менеджеру по поколению/возрасту, расширенная поведенческая аналитика, сложное скриптование.</w:t>
            </w:r>
          </w:p>
        </w:tc>
      </w:tr>
      <w:tr>
        <w:tc>
          <w:tcPr>
            <w:tcW w:type="dxa" w:w="5270"/>
            <w:vAlign w:val="top"/>
          </w:tcPr>
          <w:p>
            <w:r>
              <w:t>Требует отдельного согласования</w:t>
            </w:r>
          </w:p>
        </w:tc>
        <w:tc>
          <w:tcPr>
            <w:tcW w:type="dxa" w:w="5270"/>
            <w:vAlign w:val="top"/>
          </w:tcPr>
          <w:p>
            <w:r>
              <w:t>Медицинские документы, электронная подпись, МАКС, передача анализов до приема, соответствие Минздраву.</w:t>
            </w:r>
          </w:p>
        </w:tc>
      </w:tr>
    </w:tbl>
    <w:p>
      <w:pPr>
        <w:pStyle w:val="Heading1"/>
      </w:pPr>
      <w:r>
        <w:t>2. Реестр задач</w:t>
      </w:r>
    </w:p>
    <w:p>
      <w:pPr>
        <w:pStyle w:val="Heading2"/>
      </w:pPr>
      <w:r>
        <w:t>CJM/CGM</w:t>
      </w:r>
    </w:p>
    <w:p>
      <w:r>
        <w:rPr>
          <w:b/>
        </w:rPr>
        <w:t>T-001. Исправить сегментацию пациента в Customer Journey Map и предоставить Наталье доступ для редактирования.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vAlign w:val="top"/>
          </w:tcPr>
          <w:p>
            <w:r>
              <w:t>Ответственный</w:t>
            </w:r>
          </w:p>
        </w:tc>
        <w:tc>
          <w:tcPr>
            <w:tcW w:type="dxa" w:w="5270"/>
            <w:vAlign w:val="top"/>
          </w:tcPr>
          <w:p>
            <w:r>
              <w:t>Наталья (Speaker B)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Срок</w:t>
            </w:r>
          </w:p>
        </w:tc>
        <w:tc>
          <w:tcPr>
            <w:tcW w:type="dxa" w:w="5270"/>
            <w:vAlign w:val="top"/>
          </w:tcPr>
          <w:p>
            <w:r>
              <w:t>Без даты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Приоритет</w:t>
            </w:r>
          </w:p>
        </w:tc>
        <w:tc>
          <w:tcPr>
            <w:tcW w:type="dxa" w:w="5270"/>
            <w:vAlign w:val="top"/>
          </w:tcPr>
          <w:p>
            <w:r>
              <w:t>Высокий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Комментарий</w:t>
            </w:r>
          </w:p>
        </w:tc>
        <w:tc>
          <w:tcPr>
            <w:tcW w:type="dxa" w:w="5270"/>
            <w:vAlign w:val="top"/>
          </w:tcPr>
          <w:p>
            <w:r>
              <w:t>Зафиксировано в списке задач</w:t>
            </w:r>
          </w:p>
        </w:tc>
      </w:tr>
    </w:tbl>
    <w:p/>
    <w:p>
      <w:r>
        <w:rPr>
          <w:b/>
        </w:rPr>
        <w:t>T-003. Создать и отправить шаблон таблицы для заполнения полей CJM/CGM отделом продаж и маркетингом с учетом всех этапов жизненного цикла клиента.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vAlign w:val="top"/>
          </w:tcPr>
          <w:p>
            <w:r>
              <w:t>Ответственный</w:t>
            </w:r>
          </w:p>
        </w:tc>
        <w:tc>
          <w:tcPr>
            <w:tcW w:type="dxa" w:w="5270"/>
            <w:vAlign w:val="top"/>
          </w:tcPr>
          <w:p>
            <w:r>
              <w:t>Speaker A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Срок</w:t>
            </w:r>
          </w:p>
        </w:tc>
        <w:tc>
          <w:tcPr>
            <w:tcW w:type="dxa" w:w="5270"/>
            <w:vAlign w:val="top"/>
          </w:tcPr>
          <w:p>
            <w:r>
              <w:t>До 07.05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Приоритет</w:t>
            </w:r>
          </w:p>
        </w:tc>
        <w:tc>
          <w:tcPr>
            <w:tcW w:type="dxa" w:w="5270"/>
            <w:vAlign w:val="top"/>
          </w:tcPr>
          <w:p>
            <w:r>
              <w:t>Высокий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Комментарий</w:t>
            </w:r>
          </w:p>
        </w:tc>
        <w:tc>
          <w:tcPr>
            <w:tcW w:type="dxa" w:w="5270"/>
            <w:vAlign w:val="top"/>
          </w:tcPr>
          <w:p>
            <w:r>
              <w:t>Ключевой артефакт</w:t>
            </w:r>
          </w:p>
        </w:tc>
      </w:tr>
    </w:tbl>
    <w:p/>
    <w:p>
      <w:pPr>
        <w:pStyle w:val="Heading2"/>
      </w:pPr>
      <w:r>
        <w:t>Доступы</w:t>
      </w:r>
    </w:p>
    <w:p>
      <w:r>
        <w:rPr>
          <w:b/>
        </w:rPr>
        <w:t>T-002. Добавить Google-почту в Teams для автоматического подхвата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vAlign w:val="top"/>
          </w:tcPr>
          <w:p>
            <w:r>
              <w:t>Ответственный</w:t>
            </w:r>
          </w:p>
        </w:tc>
        <w:tc>
          <w:tcPr>
            <w:tcW w:type="dxa" w:w="5270"/>
            <w:vAlign w:val="top"/>
          </w:tcPr>
          <w:p>
            <w:r>
              <w:t>Speaker A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Срок</w:t>
            </w:r>
          </w:p>
        </w:tc>
        <w:tc>
          <w:tcPr>
            <w:tcW w:type="dxa" w:w="5270"/>
            <w:vAlign w:val="top"/>
          </w:tcPr>
          <w:p>
            <w:r>
              <w:t>Без даты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Приоритет</w:t>
            </w:r>
          </w:p>
        </w:tc>
        <w:tc>
          <w:tcPr>
            <w:tcW w:type="dxa" w:w="5270"/>
            <w:vAlign w:val="top"/>
          </w:tcPr>
          <w:p>
            <w:r>
              <w:t>Средний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Комментарий</w:t>
            </w:r>
          </w:p>
        </w:tc>
        <w:tc>
          <w:tcPr>
            <w:tcW w:type="dxa" w:w="5270"/>
            <w:vAlign w:val="top"/>
          </w:tcPr>
          <w:p>
            <w:r>
              <w:t>Техническая задача</w:t>
            </w:r>
          </w:p>
        </w:tc>
      </w:tr>
    </w:tbl>
    <w:p/>
    <w:p>
      <w:pPr>
        <w:pStyle w:val="Heading2"/>
      </w:pPr>
      <w:r>
        <w:t>Маркетинг</w:t>
      </w:r>
    </w:p>
    <w:p>
      <w:r>
        <w:rPr>
          <w:b/>
        </w:rPr>
        <w:t>T-004. Объединить и контролировать все источники точек входа клиентов: сайт, сарафан, баннеры, прямой визит, звонок, чат и др.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vAlign w:val="top"/>
          </w:tcPr>
          <w:p>
            <w:r>
              <w:t>Ответственный</w:t>
            </w:r>
          </w:p>
        </w:tc>
        <w:tc>
          <w:tcPr>
            <w:tcW w:type="dxa" w:w="5270"/>
            <w:vAlign w:val="top"/>
          </w:tcPr>
          <w:p>
            <w:r>
              <w:t>Наталья (Speaker B) / маркетинг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Срок</w:t>
            </w:r>
          </w:p>
        </w:tc>
        <w:tc>
          <w:tcPr>
            <w:tcW w:type="dxa" w:w="5270"/>
            <w:vAlign w:val="top"/>
          </w:tcPr>
          <w:p>
            <w:r>
              <w:t>До 07.05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Приоритет</w:t>
            </w:r>
          </w:p>
        </w:tc>
        <w:tc>
          <w:tcPr>
            <w:tcW w:type="dxa" w:w="5270"/>
            <w:vAlign w:val="top"/>
          </w:tcPr>
          <w:p>
            <w:r>
              <w:t>Высокий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Комментарий</w:t>
            </w:r>
          </w:p>
        </w:tc>
        <w:tc>
          <w:tcPr>
            <w:tcW w:type="dxa" w:w="5270"/>
            <w:vAlign w:val="top"/>
          </w:tcPr>
          <w:p>
            <w:r>
              <w:t>Нужно для сквозной аналитики</w:t>
            </w:r>
          </w:p>
        </w:tc>
      </w:tr>
    </w:tbl>
    <w:p/>
    <w:p>
      <w:r>
        <w:rPr>
          <w:b/>
        </w:rPr>
        <w:t>T-022. Провести встречу с маркетингом после 12:00 в четверг, подготовить материалы для Влада Гусельникова под контролем Speaker 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vAlign w:val="top"/>
          </w:tcPr>
          <w:p>
            <w:r>
              <w:t>Ответственный</w:t>
            </w:r>
          </w:p>
        </w:tc>
        <w:tc>
          <w:tcPr>
            <w:tcW w:type="dxa" w:w="5270"/>
            <w:vAlign w:val="top"/>
          </w:tcPr>
          <w:p>
            <w:r>
              <w:t>Наталья (Speaker B) / Вадим / Влад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Срок</w:t>
            </w:r>
          </w:p>
        </w:tc>
        <w:tc>
          <w:tcPr>
            <w:tcW w:type="dxa" w:w="5270"/>
            <w:vAlign w:val="top"/>
          </w:tcPr>
          <w:p>
            <w:r>
              <w:t>07.05 / после выхода Влада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Приоритет</w:t>
            </w:r>
          </w:p>
        </w:tc>
        <w:tc>
          <w:tcPr>
            <w:tcW w:type="dxa" w:w="5270"/>
            <w:vAlign w:val="top"/>
          </w:tcPr>
          <w:p>
            <w:r>
              <w:t>Средний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Комментарий</w:t>
            </w:r>
          </w:p>
        </w:tc>
        <w:tc>
          <w:tcPr>
            <w:tcW w:type="dxa" w:w="5270"/>
            <w:vAlign w:val="top"/>
          </w:tcPr>
          <w:p>
            <w:r>
              <w:t>Подготовка маркетингового блока</w:t>
            </w:r>
          </w:p>
        </w:tc>
      </w:tr>
    </w:tbl>
    <w:p/>
    <w:p>
      <w:pPr>
        <w:pStyle w:val="Heading2"/>
      </w:pPr>
      <w:r>
        <w:t>Сегментация</w:t>
      </w:r>
    </w:p>
    <w:p>
      <w:r>
        <w:rPr>
          <w:b/>
        </w:rPr>
        <w:t>T-005. Описать сценарии сегментации: первичный прием, обследование, диагностика, контакт через ЦОЗ, передача в ОП.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vAlign w:val="top"/>
          </w:tcPr>
          <w:p>
            <w:r>
              <w:t>Ответственный</w:t>
            </w:r>
          </w:p>
        </w:tc>
        <w:tc>
          <w:tcPr>
            <w:tcW w:type="dxa" w:w="5270"/>
            <w:vAlign w:val="top"/>
          </w:tcPr>
          <w:p>
            <w:r>
              <w:t>Наташа (Speaker D)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Срок</w:t>
            </w:r>
          </w:p>
        </w:tc>
        <w:tc>
          <w:tcPr>
            <w:tcW w:type="dxa" w:w="5270"/>
            <w:vAlign w:val="top"/>
          </w:tcPr>
          <w:p>
            <w:r>
              <w:t>До 30.04 / уточнить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Приоритет</w:t>
            </w:r>
          </w:p>
        </w:tc>
        <w:tc>
          <w:tcPr>
            <w:tcW w:type="dxa" w:w="5270"/>
            <w:vAlign w:val="top"/>
          </w:tcPr>
          <w:p>
            <w:r>
              <w:t>Высокий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Комментарий</w:t>
            </w:r>
          </w:p>
        </w:tc>
        <w:tc>
          <w:tcPr>
            <w:tcW w:type="dxa" w:w="5270"/>
            <w:vAlign w:val="top"/>
          </w:tcPr>
          <w:p>
            <w:r>
              <w:t>Иначе смешиваются разные пути пациента</w:t>
            </w:r>
          </w:p>
        </w:tc>
      </w:tr>
    </w:tbl>
    <w:p/>
    <w:p>
      <w:pPr>
        <w:pStyle w:val="Heading2"/>
      </w:pPr>
      <w:r>
        <w:t>Передача в ОП</w:t>
      </w:r>
    </w:p>
    <w:p>
      <w:r>
        <w:rPr>
          <w:b/>
        </w:rPr>
        <w:t>T-006. Организовать передачу информации о пациентах с диагностикой из ЦОЗ в отдел продаж с напоминаниями и точками контакта.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vAlign w:val="top"/>
          </w:tcPr>
          <w:p>
            <w:r>
              <w:t>Ответственный</w:t>
            </w:r>
          </w:p>
        </w:tc>
        <w:tc>
          <w:tcPr>
            <w:tcW w:type="dxa" w:w="5270"/>
            <w:vAlign w:val="top"/>
          </w:tcPr>
          <w:p>
            <w:r>
              <w:t>Speaker A / CRM-команда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Срок</w:t>
            </w:r>
          </w:p>
        </w:tc>
        <w:tc>
          <w:tcPr>
            <w:tcW w:type="dxa" w:w="5270"/>
            <w:vAlign w:val="top"/>
          </w:tcPr>
          <w:p>
            <w:r>
              <w:t>Без даты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Приоритет</w:t>
            </w:r>
          </w:p>
        </w:tc>
        <w:tc>
          <w:tcPr>
            <w:tcW w:type="dxa" w:w="5270"/>
            <w:vAlign w:val="top"/>
          </w:tcPr>
          <w:p>
            <w:r>
              <w:t>Высокий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Комментарий</w:t>
            </w:r>
          </w:p>
        </w:tc>
        <w:tc>
          <w:tcPr>
            <w:tcW w:type="dxa" w:w="5270"/>
            <w:vAlign w:val="top"/>
          </w:tcPr>
          <w:p>
            <w:r>
              <w:t>Пациент после диагностики не должен теряться</w:t>
            </w:r>
          </w:p>
        </w:tc>
      </w:tr>
    </w:tbl>
    <w:p/>
    <w:p>
      <w:pPr>
        <w:pStyle w:val="Heading2"/>
      </w:pPr>
      <w:r>
        <w:t>CJM/маркетинг</w:t>
      </w:r>
    </w:p>
    <w:p>
      <w:r>
        <w:rPr>
          <w:b/>
        </w:rPr>
        <w:t>T-007. Прорисовать путь клиента от источника обращения до этапа до визита, включая каналы маркетинга и колл-центр.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vAlign w:val="top"/>
          </w:tcPr>
          <w:p>
            <w:r>
              <w:t>Ответственный</w:t>
            </w:r>
          </w:p>
        </w:tc>
        <w:tc>
          <w:tcPr>
            <w:tcW w:type="dxa" w:w="5270"/>
            <w:vAlign w:val="top"/>
          </w:tcPr>
          <w:p>
            <w:r>
              <w:t>Speaker A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Срок</w:t>
            </w:r>
          </w:p>
        </w:tc>
        <w:tc>
          <w:tcPr>
            <w:tcW w:type="dxa" w:w="5270"/>
            <w:vAlign w:val="top"/>
          </w:tcPr>
          <w:p>
            <w:r>
              <w:t>07.05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Приоритет</w:t>
            </w:r>
          </w:p>
        </w:tc>
        <w:tc>
          <w:tcPr>
            <w:tcW w:type="dxa" w:w="5270"/>
            <w:vAlign w:val="top"/>
          </w:tcPr>
          <w:p>
            <w:r>
              <w:t>Высокий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Комментарий</w:t>
            </w:r>
          </w:p>
        </w:tc>
        <w:tc>
          <w:tcPr>
            <w:tcW w:type="dxa" w:w="5270"/>
            <w:vAlign w:val="top"/>
          </w:tcPr>
          <w:p>
            <w:r>
              <w:t>Подготовка к следующей встрече</w:t>
            </w:r>
          </w:p>
        </w:tc>
      </w:tr>
    </w:tbl>
    <w:p/>
    <w:p>
      <w:pPr>
        <w:pStyle w:val="Heading2"/>
      </w:pPr>
      <w:r>
        <w:t>Аналитика</w:t>
      </w:r>
    </w:p>
    <w:p>
      <w:r>
        <w:rPr>
          <w:b/>
        </w:rPr>
        <w:t>T-008. Подготовить материал по метрикам и отчетам: средний чек, LTV, первичная/вторичная продажа, точки просадки.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vAlign w:val="top"/>
          </w:tcPr>
          <w:p>
            <w:r>
              <w:t>Ответственный</w:t>
            </w:r>
          </w:p>
        </w:tc>
        <w:tc>
          <w:tcPr>
            <w:tcW w:type="dxa" w:w="5270"/>
            <w:vAlign w:val="top"/>
          </w:tcPr>
          <w:p>
            <w:r>
              <w:t>Наталья (Speaker B)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Срок</w:t>
            </w:r>
          </w:p>
        </w:tc>
        <w:tc>
          <w:tcPr>
            <w:tcW w:type="dxa" w:w="5270"/>
            <w:vAlign w:val="top"/>
          </w:tcPr>
          <w:p>
            <w:r>
              <w:t>07.05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Приоритет</w:t>
            </w:r>
          </w:p>
        </w:tc>
        <w:tc>
          <w:tcPr>
            <w:tcW w:type="dxa" w:w="5270"/>
            <w:vAlign w:val="top"/>
          </w:tcPr>
          <w:p>
            <w:r>
              <w:t>Высокий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Комментарий</w:t>
            </w:r>
          </w:p>
        </w:tc>
        <w:tc>
          <w:tcPr>
            <w:tcW w:type="dxa" w:w="5270"/>
            <w:vAlign w:val="top"/>
          </w:tcPr>
          <w:p>
            <w:r>
              <w:t>Нужно для проектирования полей CRM</w:t>
            </w:r>
          </w:p>
        </w:tc>
      </w:tr>
    </w:tbl>
    <w:p/>
    <w:p>
      <w:pPr>
        <w:pStyle w:val="Heading2"/>
      </w:pPr>
      <w:r>
        <w:t>Сегментация CRM</w:t>
      </w:r>
    </w:p>
    <w:p>
      <w:r>
        <w:rPr>
          <w:b/>
        </w:rPr>
        <w:t>T-009. Определить параметры и уровни сегментации пациентов: первичный/повторный контакт, жалобы, направления, источник, возраст, регион.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vAlign w:val="top"/>
          </w:tcPr>
          <w:p>
            <w:r>
              <w:t>Ответственный</w:t>
            </w:r>
          </w:p>
        </w:tc>
        <w:tc>
          <w:tcPr>
            <w:tcW w:type="dxa" w:w="5270"/>
            <w:vAlign w:val="top"/>
          </w:tcPr>
          <w:p>
            <w:r>
              <w:t>Speaker A / Наташа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Срок</w:t>
            </w:r>
          </w:p>
        </w:tc>
        <w:tc>
          <w:tcPr>
            <w:tcW w:type="dxa" w:w="5270"/>
            <w:vAlign w:val="top"/>
          </w:tcPr>
          <w:p>
            <w:r>
              <w:t>Без даты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Приоритет</w:t>
            </w:r>
          </w:p>
        </w:tc>
        <w:tc>
          <w:tcPr>
            <w:tcW w:type="dxa" w:w="5270"/>
            <w:vAlign w:val="top"/>
          </w:tcPr>
          <w:p>
            <w:r>
              <w:t>Высокий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Комментарий</w:t>
            </w:r>
          </w:p>
        </w:tc>
        <w:tc>
          <w:tcPr>
            <w:tcW w:type="dxa" w:w="5270"/>
            <w:vAlign w:val="top"/>
          </w:tcPr>
          <w:p>
            <w:r>
              <w:t>Основа статусов и задач</w:t>
            </w:r>
          </w:p>
        </w:tc>
      </w:tr>
    </w:tbl>
    <w:p/>
    <w:p>
      <w:pPr>
        <w:pStyle w:val="Heading2"/>
      </w:pPr>
      <w:r>
        <w:t>Поведенческие факторы</w:t>
      </w:r>
    </w:p>
    <w:p>
      <w:r>
        <w:rPr>
          <w:b/>
        </w:rPr>
        <w:t>T-010. Определить, как учитывать возраст, поколение и поведенческие факторы для сегментации и аналитики в CRM.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vAlign w:val="top"/>
          </w:tcPr>
          <w:p>
            <w:r>
              <w:t>Ответственный</w:t>
            </w:r>
          </w:p>
        </w:tc>
        <w:tc>
          <w:tcPr>
            <w:tcW w:type="dxa" w:w="5270"/>
            <w:vAlign w:val="top"/>
          </w:tcPr>
          <w:p>
            <w:r>
              <w:t>Наташа (Speaker D)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Срок</w:t>
            </w:r>
          </w:p>
        </w:tc>
        <w:tc>
          <w:tcPr>
            <w:tcW w:type="dxa" w:w="5270"/>
            <w:vAlign w:val="top"/>
          </w:tcPr>
          <w:p>
            <w:r>
              <w:t>После MVP / уточнить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Приоритет</w:t>
            </w:r>
          </w:p>
        </w:tc>
        <w:tc>
          <w:tcPr>
            <w:tcW w:type="dxa" w:w="5270"/>
            <w:vAlign w:val="top"/>
          </w:tcPr>
          <w:p>
            <w:r>
              <w:t>Средний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Комментарий</w:t>
            </w:r>
          </w:p>
        </w:tc>
        <w:tc>
          <w:tcPr>
            <w:tcW w:type="dxa" w:w="5270"/>
            <w:vAlign w:val="top"/>
          </w:tcPr>
          <w:p>
            <w:r>
              <w:t>Желательно как будущий слой</w:t>
            </w:r>
          </w:p>
        </w:tc>
      </w:tr>
    </w:tbl>
    <w:p/>
    <w:p>
      <w:pPr>
        <w:pStyle w:val="Heading2"/>
      </w:pPr>
      <w:r>
        <w:t>Коммуникации</w:t>
      </w:r>
    </w:p>
    <w:p>
      <w:r>
        <w:rPr>
          <w:b/>
        </w:rPr>
        <w:t>T-011. Разработать систему напоминаний перед визитом: звонки, СМС, мессенджеры, подготовка к анализам, отмена/перенос записи.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vAlign w:val="top"/>
          </w:tcPr>
          <w:p>
            <w:r>
              <w:t>Ответственный</w:t>
            </w:r>
          </w:p>
        </w:tc>
        <w:tc>
          <w:tcPr>
            <w:tcW w:type="dxa" w:w="5270"/>
            <w:vAlign w:val="top"/>
          </w:tcPr>
          <w:p>
            <w:r>
              <w:t>Speaker A / колл-центр / IT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Срок</w:t>
            </w:r>
          </w:p>
        </w:tc>
        <w:tc>
          <w:tcPr>
            <w:tcW w:type="dxa" w:w="5270"/>
            <w:vAlign w:val="top"/>
          </w:tcPr>
          <w:p>
            <w:r>
              <w:t>До 07.05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Приоритет</w:t>
            </w:r>
          </w:p>
        </w:tc>
        <w:tc>
          <w:tcPr>
            <w:tcW w:type="dxa" w:w="5270"/>
            <w:vAlign w:val="top"/>
          </w:tcPr>
          <w:p>
            <w:r>
              <w:t>Высокий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Комментарий</w:t>
            </w:r>
          </w:p>
        </w:tc>
        <w:tc>
          <w:tcPr>
            <w:tcW w:type="dxa" w:w="5270"/>
            <w:vAlign w:val="top"/>
          </w:tcPr>
          <w:p>
            <w:r>
              <w:t>Снижает неявки и потери</w:t>
            </w:r>
          </w:p>
        </w:tc>
      </w:tr>
    </w:tbl>
    <w:p/>
    <w:p>
      <w:pPr>
        <w:pStyle w:val="Heading2"/>
      </w:pPr>
      <w:r>
        <w:t>Медицинские данные</w:t>
      </w:r>
    </w:p>
    <w:p>
      <w:r>
        <w:rPr>
          <w:b/>
        </w:rPr>
        <w:t>T-012. Рассмотреть возможность предоставления врачам готовых анализов/обследований пациента до приема.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vAlign w:val="top"/>
          </w:tcPr>
          <w:p>
            <w:r>
              <w:t>Ответственный</w:t>
            </w:r>
          </w:p>
        </w:tc>
        <w:tc>
          <w:tcPr>
            <w:tcW w:type="dxa" w:w="5270"/>
            <w:vAlign w:val="top"/>
          </w:tcPr>
          <w:p>
            <w:r>
              <w:t>Наташа (Speaker D)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Срок</w:t>
            </w:r>
          </w:p>
        </w:tc>
        <w:tc>
          <w:tcPr>
            <w:tcW w:type="dxa" w:w="5270"/>
            <w:vAlign w:val="top"/>
          </w:tcPr>
          <w:p>
            <w:r>
              <w:t>Уточнить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Приоритет</w:t>
            </w:r>
          </w:p>
        </w:tc>
        <w:tc>
          <w:tcPr>
            <w:tcW w:type="dxa" w:w="5270"/>
            <w:vAlign w:val="top"/>
          </w:tcPr>
          <w:p>
            <w:r>
              <w:t>Средний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Комментарий</w:t>
            </w:r>
          </w:p>
        </w:tc>
        <w:tc>
          <w:tcPr>
            <w:tcW w:type="dxa" w:w="5270"/>
            <w:vAlign w:val="top"/>
          </w:tcPr>
          <w:p>
            <w:r>
              <w:t>Есть юридические ограничения</w:t>
            </w:r>
          </w:p>
        </w:tc>
      </w:tr>
    </w:tbl>
    <w:p/>
    <w:p>
      <w:pPr>
        <w:pStyle w:val="Heading2"/>
      </w:pPr>
      <w:r>
        <w:t>Документы</w:t>
      </w:r>
    </w:p>
    <w:p>
      <w:r>
        <w:rPr>
          <w:b/>
        </w:rPr>
        <w:t>T-013. Описать процесс документов пациента: что подписывает, что хранится, роль МАКС/верификации, какие данные обязательны для перехода дальше.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vAlign w:val="top"/>
          </w:tcPr>
          <w:p>
            <w:r>
              <w:t>Ответственный</w:t>
            </w:r>
          </w:p>
        </w:tc>
        <w:tc>
          <w:tcPr>
            <w:tcW w:type="dxa" w:w="5270"/>
            <w:vAlign w:val="top"/>
          </w:tcPr>
          <w:p>
            <w:r>
              <w:t>Наталья (Speaker B)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Срок</w:t>
            </w:r>
          </w:p>
        </w:tc>
        <w:tc>
          <w:tcPr>
            <w:tcW w:type="dxa" w:w="5270"/>
            <w:vAlign w:val="top"/>
          </w:tcPr>
          <w:p>
            <w:r>
              <w:t>Уточнить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Приоритет</w:t>
            </w:r>
          </w:p>
        </w:tc>
        <w:tc>
          <w:tcPr>
            <w:tcW w:type="dxa" w:w="5270"/>
            <w:vAlign w:val="top"/>
          </w:tcPr>
          <w:p>
            <w:r>
              <w:t>Высокий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Комментарий</w:t>
            </w:r>
          </w:p>
        </w:tc>
        <w:tc>
          <w:tcPr>
            <w:tcW w:type="dxa" w:w="5270"/>
            <w:vAlign w:val="top"/>
          </w:tcPr>
          <w:p>
            <w:r>
              <w:t>Критично для медицинского процесса</w:t>
            </w:r>
          </w:p>
        </w:tc>
      </w:tr>
    </w:tbl>
    <w:p/>
    <w:p>
      <w:pPr>
        <w:pStyle w:val="Heading2"/>
      </w:pPr>
      <w:r>
        <w:t>Консультативные листы</w:t>
      </w:r>
    </w:p>
    <w:p>
      <w:r>
        <w:rPr>
          <w:b/>
        </w:rPr>
        <w:t>T-014. Доработать предзаполнение заказов на основе электронных консультативных листов и организовать работу с врачами.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vAlign w:val="top"/>
          </w:tcPr>
          <w:p>
            <w:r>
              <w:t>Ответственный</w:t>
            </w:r>
          </w:p>
        </w:tc>
        <w:tc>
          <w:tcPr>
            <w:tcW w:type="dxa" w:w="5270"/>
            <w:vAlign w:val="top"/>
          </w:tcPr>
          <w:p>
            <w:r>
              <w:t>Наталья (Speaker B)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Срок</w:t>
            </w:r>
          </w:p>
        </w:tc>
        <w:tc>
          <w:tcPr>
            <w:tcW w:type="dxa" w:w="5270"/>
            <w:vAlign w:val="top"/>
          </w:tcPr>
          <w:p>
            <w:r>
              <w:t>Контроль до 07.05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Приоритет</w:t>
            </w:r>
          </w:p>
        </w:tc>
        <w:tc>
          <w:tcPr>
            <w:tcW w:type="dxa" w:w="5270"/>
            <w:vAlign w:val="top"/>
          </w:tcPr>
          <w:p>
            <w:r>
              <w:t>Высокий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Комментарий</w:t>
            </w:r>
          </w:p>
        </w:tc>
        <w:tc>
          <w:tcPr>
            <w:tcW w:type="dxa" w:w="5270"/>
            <w:vAlign w:val="top"/>
          </w:tcPr>
          <w:p>
            <w:r>
              <w:t>Уменьшает потери назначений</w:t>
            </w:r>
          </w:p>
        </w:tc>
      </w:tr>
    </w:tbl>
    <w:p/>
    <w:p>
      <w:pPr>
        <w:pStyle w:val="Heading2"/>
      </w:pPr>
      <w:r>
        <w:t>Стандарты врачей</w:t>
      </w:r>
    </w:p>
    <w:p>
      <w:r>
        <w:rPr>
          <w:b/>
        </w:rPr>
        <w:t>T-015. Согласовать стандарты заполнения консультативных листов с главным врачом, исключить несанкционированные изменения, обеспечить соответствие Минздраву.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vAlign w:val="top"/>
          </w:tcPr>
          <w:p>
            <w:r>
              <w:t>Ответственный</w:t>
            </w:r>
          </w:p>
        </w:tc>
        <w:tc>
          <w:tcPr>
            <w:tcW w:type="dxa" w:w="5270"/>
            <w:vAlign w:val="top"/>
          </w:tcPr>
          <w:p>
            <w:r>
              <w:t>Наталья (Speaker B) / главный врач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Срок</w:t>
            </w:r>
          </w:p>
        </w:tc>
        <w:tc>
          <w:tcPr>
            <w:tcW w:type="dxa" w:w="5270"/>
            <w:vAlign w:val="top"/>
          </w:tcPr>
          <w:p>
            <w:r>
              <w:t>До 30.04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Приоритет</w:t>
            </w:r>
          </w:p>
        </w:tc>
        <w:tc>
          <w:tcPr>
            <w:tcW w:type="dxa" w:w="5270"/>
            <w:vAlign w:val="top"/>
          </w:tcPr>
          <w:p>
            <w:r>
              <w:t>Высокий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Комментарий</w:t>
            </w:r>
          </w:p>
        </w:tc>
        <w:tc>
          <w:tcPr>
            <w:tcW w:type="dxa" w:w="5270"/>
            <w:vAlign w:val="top"/>
          </w:tcPr>
          <w:p>
            <w:r>
              <w:t>Юридический и операционный риск</w:t>
            </w:r>
          </w:p>
        </w:tc>
      </w:tr>
    </w:tbl>
    <w:p/>
    <w:p>
      <w:pPr>
        <w:pStyle w:val="Heading2"/>
      </w:pPr>
      <w:r>
        <w:t>Автозадачи CRM</w:t>
      </w:r>
    </w:p>
    <w:p>
      <w:r>
        <w:rPr>
          <w:b/>
        </w:rPr>
        <w:t>T-016. Настроить отслеживание назначений врача, сроков обследований и контакт ОП через 3 дня после первичного приема.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vAlign w:val="top"/>
          </w:tcPr>
          <w:p>
            <w:r>
              <w:t>Ответственный</w:t>
            </w:r>
          </w:p>
        </w:tc>
        <w:tc>
          <w:tcPr>
            <w:tcW w:type="dxa" w:w="5270"/>
            <w:vAlign w:val="top"/>
          </w:tcPr>
          <w:p>
            <w:r>
              <w:t>Наталья (Speaker B) / CRM-команда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Срок</w:t>
            </w:r>
          </w:p>
        </w:tc>
        <w:tc>
          <w:tcPr>
            <w:tcW w:type="dxa" w:w="5270"/>
            <w:vAlign w:val="top"/>
          </w:tcPr>
          <w:p>
            <w:r>
              <w:t>Уточнить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Приоритет</w:t>
            </w:r>
          </w:p>
        </w:tc>
        <w:tc>
          <w:tcPr>
            <w:tcW w:type="dxa" w:w="5270"/>
            <w:vAlign w:val="top"/>
          </w:tcPr>
          <w:p>
            <w:r>
              <w:t>Высокий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Комментарий</w:t>
            </w:r>
          </w:p>
        </w:tc>
        <w:tc>
          <w:tcPr>
            <w:tcW w:type="dxa" w:w="5270"/>
            <w:vAlign w:val="top"/>
          </w:tcPr>
          <w:p>
            <w:r>
              <w:t>Контроль последующих действий</w:t>
            </w:r>
          </w:p>
        </w:tc>
      </w:tr>
    </w:tbl>
    <w:p/>
    <w:p>
      <w:pPr>
        <w:pStyle w:val="Heading2"/>
      </w:pPr>
      <w:r>
        <w:t>Оплата</w:t>
      </w:r>
    </w:p>
    <w:p>
      <w:r>
        <w:rPr>
          <w:b/>
        </w:rPr>
        <w:t>T-017. Разработать функционал сегментации клиентов по готовности к покупке и этапам оплаты: сумма выкупа, частичная оплата, остаток, просрочки.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vAlign w:val="top"/>
          </w:tcPr>
          <w:p>
            <w:r>
              <w:t>Ответственный</w:t>
            </w:r>
          </w:p>
        </w:tc>
        <w:tc>
          <w:tcPr>
            <w:tcW w:type="dxa" w:w="5270"/>
            <w:vAlign w:val="top"/>
          </w:tcPr>
          <w:p>
            <w:r>
              <w:t>Наташа (Speaker D)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Срок</w:t>
            </w:r>
          </w:p>
        </w:tc>
        <w:tc>
          <w:tcPr>
            <w:tcW w:type="dxa" w:w="5270"/>
            <w:vAlign w:val="top"/>
          </w:tcPr>
          <w:p>
            <w:r>
              <w:t>До 07.05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Приоритет</w:t>
            </w:r>
          </w:p>
        </w:tc>
        <w:tc>
          <w:tcPr>
            <w:tcW w:type="dxa" w:w="5270"/>
            <w:vAlign w:val="top"/>
          </w:tcPr>
          <w:p>
            <w:r>
              <w:t>Высокий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Комментарий</w:t>
            </w:r>
          </w:p>
        </w:tc>
        <w:tc>
          <w:tcPr>
            <w:tcW w:type="dxa" w:w="5270"/>
            <w:vAlign w:val="top"/>
          </w:tcPr>
          <w:p>
            <w:r>
              <w:t>Ключевой блок для ОП</w:t>
            </w:r>
          </w:p>
        </w:tc>
      </w:tr>
    </w:tbl>
    <w:p/>
    <w:p>
      <w:pPr>
        <w:pStyle w:val="Heading2"/>
      </w:pPr>
      <w:r>
        <w:t>Онлайн-оплата</w:t>
      </w:r>
    </w:p>
    <w:p>
      <w:r>
        <w:rPr>
          <w:b/>
        </w:rPr>
        <w:t>T-018. Организовать отправку QR-кодов/ссылок онлайн-оплаты пациентам, включая иногородних.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vAlign w:val="top"/>
          </w:tcPr>
          <w:p>
            <w:r>
              <w:t>Ответственный</w:t>
            </w:r>
          </w:p>
        </w:tc>
        <w:tc>
          <w:tcPr>
            <w:tcW w:type="dxa" w:w="5270"/>
            <w:vAlign w:val="top"/>
          </w:tcPr>
          <w:p>
            <w:r>
              <w:t>Наташа (Speaker D)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Срок</w:t>
            </w:r>
          </w:p>
        </w:tc>
        <w:tc>
          <w:tcPr>
            <w:tcW w:type="dxa" w:w="5270"/>
            <w:vAlign w:val="top"/>
          </w:tcPr>
          <w:p>
            <w:r>
              <w:t>Уточнить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Приоритет</w:t>
            </w:r>
          </w:p>
        </w:tc>
        <w:tc>
          <w:tcPr>
            <w:tcW w:type="dxa" w:w="5270"/>
            <w:vAlign w:val="top"/>
          </w:tcPr>
          <w:p>
            <w:r>
              <w:t>Средний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Комментарий</w:t>
            </w:r>
          </w:p>
        </w:tc>
        <w:tc>
          <w:tcPr>
            <w:tcW w:type="dxa" w:w="5270"/>
            <w:vAlign w:val="top"/>
          </w:tcPr>
          <w:p>
            <w:r>
              <w:t>Ускоряет оплату и планирование лечения</w:t>
            </w:r>
          </w:p>
        </w:tc>
      </w:tr>
    </w:tbl>
    <w:p/>
    <w:p>
      <w:pPr>
        <w:pStyle w:val="Heading2"/>
      </w:pPr>
      <w:r>
        <w:t>Регламенты продаж</w:t>
      </w:r>
    </w:p>
    <w:p>
      <w:r>
        <w:rPr>
          <w:b/>
        </w:rPr>
        <w:t>T-019. Подготовить регламенты работы с пациентами и стандартные сценарии продаж, включая отработку возражений, для передачи Андрею.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vAlign w:val="top"/>
          </w:tcPr>
          <w:p>
            <w:r>
              <w:t>Ответственный</w:t>
            </w:r>
          </w:p>
        </w:tc>
        <w:tc>
          <w:tcPr>
            <w:tcW w:type="dxa" w:w="5270"/>
            <w:vAlign w:val="top"/>
          </w:tcPr>
          <w:p>
            <w:r>
              <w:t>Наташа (Speaker D)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Срок</w:t>
            </w:r>
          </w:p>
        </w:tc>
        <w:tc>
          <w:tcPr>
            <w:tcW w:type="dxa" w:w="5270"/>
            <w:vAlign w:val="top"/>
          </w:tcPr>
          <w:p>
            <w:r>
              <w:t>30.04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Приоритет</w:t>
            </w:r>
          </w:p>
        </w:tc>
        <w:tc>
          <w:tcPr>
            <w:tcW w:type="dxa" w:w="5270"/>
            <w:vAlign w:val="top"/>
          </w:tcPr>
          <w:p>
            <w:r>
              <w:t>Высокий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Комментарий</w:t>
            </w:r>
          </w:p>
        </w:tc>
        <w:tc>
          <w:tcPr>
            <w:tcW w:type="dxa" w:w="5270"/>
            <w:vAlign w:val="top"/>
          </w:tcPr>
          <w:p>
            <w:r>
              <w:t>Нужно для проектирования CRM</w:t>
            </w:r>
          </w:p>
        </w:tc>
      </w:tr>
    </w:tbl>
    <w:p/>
    <w:p>
      <w:pPr>
        <w:pStyle w:val="Heading2"/>
      </w:pPr>
      <w:r>
        <w:t>Встреча 30 апреля</w:t>
      </w:r>
    </w:p>
    <w:p>
      <w:r>
        <w:rPr>
          <w:b/>
        </w:rPr>
        <w:t>T-020. Провести встречу с Андреем 30 апреля с 12:00 до 17:00 по регламентам, комментариям и доработкам CRM.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vAlign w:val="top"/>
          </w:tcPr>
          <w:p>
            <w:r>
              <w:t>Ответственный</w:t>
            </w:r>
          </w:p>
        </w:tc>
        <w:tc>
          <w:tcPr>
            <w:tcW w:type="dxa" w:w="5270"/>
            <w:vAlign w:val="top"/>
          </w:tcPr>
          <w:p>
            <w:r>
              <w:t>Наталья (Speaker B) / Наташа / Андрей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Срок</w:t>
            </w:r>
          </w:p>
        </w:tc>
        <w:tc>
          <w:tcPr>
            <w:tcW w:type="dxa" w:w="5270"/>
            <w:vAlign w:val="top"/>
          </w:tcPr>
          <w:p>
            <w:r>
              <w:t>30.04, 12:00-17:00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Приоритет</w:t>
            </w:r>
          </w:p>
        </w:tc>
        <w:tc>
          <w:tcPr>
            <w:tcW w:type="dxa" w:w="5270"/>
            <w:vAlign w:val="top"/>
          </w:tcPr>
          <w:p>
            <w:r>
              <w:t>Высокий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Комментарий</w:t>
            </w:r>
          </w:p>
        </w:tc>
        <w:tc>
          <w:tcPr>
            <w:tcW w:type="dxa" w:w="5270"/>
            <w:vAlign w:val="top"/>
          </w:tcPr>
          <w:p>
            <w:r>
              <w:t>Следующий рабочий слот</w:t>
            </w:r>
          </w:p>
        </w:tc>
      </w:tr>
    </w:tbl>
    <w:p/>
    <w:p>
      <w:pPr>
        <w:pStyle w:val="Heading2"/>
      </w:pPr>
      <w:r>
        <w:t>Контроль оплат</w:t>
      </w:r>
    </w:p>
    <w:p>
      <w:r>
        <w:rPr>
          <w:b/>
        </w:rPr>
        <w:t>T-021. Обеспечить контроль неоплаченных процедур и сделок с постановкой задач менеджерам на обзвон.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vAlign w:val="top"/>
          </w:tcPr>
          <w:p>
            <w:r>
              <w:t>Ответственный</w:t>
            </w:r>
          </w:p>
        </w:tc>
        <w:tc>
          <w:tcPr>
            <w:tcW w:type="dxa" w:w="5270"/>
            <w:vAlign w:val="top"/>
          </w:tcPr>
          <w:p>
            <w:r>
              <w:t>Наташа (Speaker D)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Срок</w:t>
            </w:r>
          </w:p>
        </w:tc>
        <w:tc>
          <w:tcPr>
            <w:tcW w:type="dxa" w:w="5270"/>
            <w:vAlign w:val="top"/>
          </w:tcPr>
          <w:p>
            <w:r>
              <w:t>До 07.05 / уточнить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Приоритет</w:t>
            </w:r>
          </w:p>
        </w:tc>
        <w:tc>
          <w:tcPr>
            <w:tcW w:type="dxa" w:w="5270"/>
            <w:vAlign w:val="top"/>
          </w:tcPr>
          <w:p>
            <w:r>
              <w:t>Высокий</w:t>
            </w:r>
          </w:p>
        </w:tc>
      </w:tr>
      <w:tr>
        <w:tc>
          <w:tcPr>
            <w:tcW w:type="dxa" w:w="5270"/>
            <w:shd w:fill="F2F2F2"/>
            <w:vAlign w:val="top"/>
          </w:tcPr>
          <w:p>
            <w:r>
              <w:t>Комментарий</w:t>
            </w:r>
          </w:p>
        </w:tc>
        <w:tc>
          <w:tcPr>
            <w:tcW w:type="dxa" w:w="5270"/>
            <w:vAlign w:val="top"/>
          </w:tcPr>
          <w:p>
            <w:r>
              <w:t>Нужно видеть недополученную сумму</w:t>
            </w:r>
          </w:p>
        </w:tc>
      </w:tr>
    </w:tbl>
    <w:p/>
    <w:p>
      <w:pPr>
        <w:pStyle w:val="Heading1"/>
      </w:pPr>
      <w:r>
        <w:t>3. Зависимости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AF7"/>
          </w:tcPr>
          <w:p>
            <w:r>
              <w:rPr>
                <w:b/>
              </w:rPr>
              <w:t>Зависимость</w:t>
            </w:r>
          </w:p>
        </w:tc>
        <w:tc>
          <w:tcPr>
            <w:tcW w:type="dxa" w:w="5270"/>
            <w:shd w:fill="D9EAF7"/>
          </w:tcPr>
          <w:p>
            <w:r>
              <w:rPr>
                <w:b/>
              </w:rPr>
              <w:t>Почему важно</w:t>
            </w:r>
          </w:p>
        </w:tc>
      </w:tr>
      <w:tr>
        <w:tc>
          <w:tcPr>
            <w:tcW w:type="dxa" w:w="5270"/>
            <w:vAlign w:val="top"/>
          </w:tcPr>
          <w:p>
            <w:r>
              <w:t>CJM/CGM</w:t>
            </w:r>
          </w:p>
        </w:tc>
        <w:tc>
          <w:tcPr>
            <w:tcW w:type="dxa" w:w="5270"/>
            <w:vAlign w:val="top"/>
          </w:tcPr>
          <w:p>
            <w:r>
              <w:t>Без заполненной карты пути нельзя корректно проектировать статусы, поля и автоматические задачи.</w:t>
            </w:r>
          </w:p>
        </w:tc>
      </w:tr>
      <w:tr>
        <w:tc>
          <w:tcPr>
            <w:tcW w:type="dxa" w:w="5270"/>
            <w:vAlign w:val="top"/>
          </w:tcPr>
          <w:p>
            <w:r>
              <w:t>Метрики и отчеты</w:t>
            </w:r>
          </w:p>
        </w:tc>
        <w:tc>
          <w:tcPr>
            <w:tcW w:type="dxa" w:w="5270"/>
            <w:vAlign w:val="top"/>
          </w:tcPr>
          <w:p>
            <w:r>
              <w:t>Список отчетов определяет, какие данные обязательно фиксировать в CRM.</w:t>
            </w:r>
          </w:p>
        </w:tc>
      </w:tr>
      <w:tr>
        <w:tc>
          <w:tcPr>
            <w:tcW w:type="dxa" w:w="5270"/>
            <w:vAlign w:val="top"/>
          </w:tcPr>
          <w:p>
            <w:r>
              <w:t>Регламенты продаж</w:t>
            </w:r>
          </w:p>
        </w:tc>
        <w:tc>
          <w:tcPr>
            <w:tcW w:type="dxa" w:w="5270"/>
            <w:vAlign w:val="top"/>
          </w:tcPr>
          <w:p>
            <w:r>
              <w:t>Подсказки, скрипты и автозадачи можно автоматизировать только после описания ручного процесса.</w:t>
            </w:r>
          </w:p>
        </w:tc>
      </w:tr>
      <w:tr>
        <w:tc>
          <w:tcPr>
            <w:tcW w:type="dxa" w:w="5270"/>
            <w:vAlign w:val="top"/>
          </w:tcPr>
          <w:p>
            <w:r>
              <w:t>Медицинский блок</w:t>
            </w:r>
          </w:p>
        </w:tc>
        <w:tc>
          <w:tcPr>
            <w:tcW w:type="dxa" w:w="5270"/>
            <w:vAlign w:val="top"/>
          </w:tcPr>
          <w:p>
            <w:r>
              <w:t>Предзаполнение заказов зависит от правил работы с консультативным листом и стандартов врачей.</w:t>
            </w:r>
          </w:p>
        </w:tc>
      </w:tr>
      <w:tr>
        <w:tc>
          <w:tcPr>
            <w:tcW w:type="dxa" w:w="5270"/>
            <w:vAlign w:val="top"/>
          </w:tcPr>
          <w:p>
            <w:r>
              <w:t>Оплата</w:t>
            </w:r>
          </w:p>
        </w:tc>
        <w:tc>
          <w:tcPr>
            <w:tcW w:type="dxa" w:w="5270"/>
            <w:vAlign w:val="top"/>
          </w:tcPr>
          <w:p>
            <w:r>
              <w:t>Контроль частичной оплаты зависит от структуры сделки, статусов оплаты и интеграции с кассой/онлайн-оплатой.</w:t>
            </w:r>
          </w:p>
        </w:tc>
      </w:tr>
    </w:tbl>
    <w:p>
      <w:pPr>
        <w:pStyle w:val="Heading1"/>
      </w:pPr>
      <w:r>
        <w:t>4. Что не включать в первый MVP без уточнения</w:t>
      </w:r>
    </w:p>
    <w:p>
      <w:pPr>
        <w:pStyle w:val="ListBullet"/>
      </w:pPr>
      <w:r>
        <w:t>Автоматические подсказки по поколению/возрасту, если нет утвержденных ручных скриптов.</w:t>
      </w:r>
    </w:p>
    <w:p>
      <w:pPr>
        <w:pStyle w:val="ListBullet"/>
      </w:pPr>
      <w:r>
        <w:t>Полная автоматизация обработки медицинских документов без юридической проверки.</w:t>
      </w:r>
    </w:p>
    <w:p>
      <w:pPr>
        <w:pStyle w:val="ListBullet"/>
      </w:pPr>
      <w:r>
        <w:t>Сложная сквозная аналитика по всем каналам до согласования справочника источников.</w:t>
      </w:r>
    </w:p>
    <w:p>
      <w:pPr>
        <w:pStyle w:val="ListBullet"/>
      </w:pPr>
      <w:r>
        <w:t>Полная автоматизация работы с анализами пациента до приема без регламента безопасной передачи данных.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