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3242"/>
        </w:rPr>
        <w:t>Carcinogenesis: Chemicals, Tobacco &amp; Radiation</w:t>
      </w:r>
    </w:p>
    <w:p>
      <w:r>
        <w:rPr>
          <w:b w:val="0"/>
          <w:i/>
        </w:rPr>
        <w:t>Year 3 Medical Student Lecture — Full Speaking Script &amp; Slide Notes</w:t>
      </w:r>
    </w:p>
    <w:p>
      <w:r>
        <w:rPr>
          <w:b w:val="0"/>
          <w:i w:val="0"/>
        </w:rPr>
        <w:t>Prof. Dr. Ş. Bilge Gürsel</w:t>
      </w:r>
    </w:p>
    <w:p>
      <w:r>
        <w:rPr>
          <w:b w:val="0"/>
          <w:i w:val="0"/>
        </w:rPr>
        <w:t>Ondokuz Mayıs University Faculty of Medicine · Department of Radiation Oncology</w:t>
      </w:r>
    </w:p>
    <w:p>
      <w:r>
        <w:rPr>
          <w:b w:val="0"/>
          <w:i w:val="0"/>
        </w:rPr>
        <w:t>Companion PowerPoint: Year3_Carcinogenesis_Chemicals_Tobacco_Radiation.pptx (41 slides)</w:t>
      </w:r>
    </w:p>
    <w:p>
      <w:r>
        <w:rPr>
          <w:b w:val="0"/>
          <w:i w:val="0"/>
        </w:rPr>
      </w:r>
    </w:p>
    <w:p>
      <w:pPr>
        <w:pStyle w:val="Heading1"/>
      </w:pPr>
      <w:r>
        <w:rPr>
          <w:color w:val="143242"/>
        </w:rPr>
        <w:t>How to Use This Document</w:t>
      </w:r>
    </w:p>
    <w:p>
      <w:r>
        <w:rPr>
          <w:b w:val="0"/>
          <w:i w:val="0"/>
        </w:rPr>
        <w:t>Each section below matches one PowerPoint slide. The text is what you can say aloud (also embedded as speaker notes under every slide). Visual slides include flowcharts and diagrams — narrate the figure rather than reading bullets.</w:t>
      </w:r>
    </w:p>
    <w:p>
      <w:r>
        <w:rPr>
          <w:b w:val="0"/>
          <w:i w:val="0"/>
        </w:rPr>
      </w:r>
    </w:p>
    <w:p>
      <w:pPr>
        <w:pStyle w:val="Heading1"/>
      </w:pPr>
      <w:r>
        <w:rPr>
          <w:color w:val="143242"/>
        </w:rPr>
        <w:t>Suggested Timing (≈ 70–90 minutes)</w:t>
      </w:r>
    </w:p>
    <w:p>
      <w:pPr>
        <w:pStyle w:val="ListBullet"/>
      </w:pPr>
      <w:r>
        <w:t>0–8 min — Introduction &amp; objectives</w:t>
      </w:r>
    </w:p>
    <w:p>
      <w:pPr>
        <w:pStyle w:val="ListBullet"/>
      </w:pPr>
      <w:r>
        <w:t>8–40 min — Chemical carcinogens (mechanisms, IARC, exposures, occupation, protection)</w:t>
      </w:r>
    </w:p>
    <w:p>
      <w:pPr>
        <w:pStyle w:val="ListBullet"/>
      </w:pPr>
      <w:r>
        <w:t>40–65 min — Tobacco (contents, mechanisms, products, MSS/SSS, counseling)</w:t>
      </w:r>
    </w:p>
    <w:p>
      <w:pPr>
        <w:pStyle w:val="ListBullet"/>
      </w:pPr>
      <w:r>
        <w:t>65–85 min — Radiation (types, DNA injury, environment, medical exposure)</w:t>
      </w:r>
    </w:p>
    <w:p>
      <w:pPr>
        <w:pStyle w:val="ListBullet"/>
      </w:pPr>
      <w:r>
        <w:t>85–90 min — Integrated prevention &amp; take-home messages</w:t>
      </w:r>
    </w:p>
    <w:p>
      <w:pPr>
        <w:pStyle w:val="Heading1"/>
      </w:pPr>
      <w:r>
        <w:rPr>
          <w:color w:val="143242"/>
        </w:rPr>
        <w:t>Slide-by-Slide Speaking Notes</w:t>
      </w:r>
    </w:p>
    <w:p>
      <w:pPr>
        <w:pStyle w:val="Heading2"/>
      </w:pPr>
      <w:r>
        <w:rPr>
          <w:color w:val="143242"/>
        </w:rPr>
        <w:t>Slide 1. Title</w:t>
      </w:r>
    </w:p>
    <w:p>
      <w:r>
        <w:rPr>
          <w:b w:val="0"/>
          <w:i w:val="0"/>
        </w:rPr>
        <w:t>Welcome students. Introduce yourself and the three pillars of today’s lecture: chemical carcinogens, tobacco (including other tobacco products and sidestream smoke), and radiation carcinogenesis. Emphasize that the same biological story — DNA injury, clonal selection, and progression — links all three. Tell them speaker notes are also provided as a Word document for study.</w:t>
      </w:r>
    </w:p>
    <w:p>
      <w:r>
        <w:rPr>
          <w:b w:val="0"/>
          <w:i w:val="0"/>
        </w:rPr>
      </w:r>
    </w:p>
    <w:p>
      <w:pPr>
        <w:pStyle w:val="Heading2"/>
      </w:pPr>
      <w:r>
        <w:rPr>
          <w:color w:val="143242"/>
        </w:rPr>
        <w:t>Slide 2. Learning Objectives</w:t>
      </w:r>
    </w:p>
    <w:p>
      <w:r>
        <w:rPr>
          <w:b w:val="0"/>
          <w:i w:val="0"/>
        </w:rPr>
        <w:t>Read the five objectives aloud. Tell students that by the end they should be able to explain mechanisms, classify exposures, and counsel patients about tobacco and radiation risks. This is a Year-3 foundational lecture — focus on mechanisms and clinical relevance, not memorizing every chemical.</w:t>
      </w:r>
    </w:p>
    <w:p>
      <w:r>
        <w:rPr>
          <w:b w:val="0"/>
          <w:i w:val="0"/>
        </w:rPr>
      </w:r>
    </w:p>
    <w:p>
      <w:pPr>
        <w:pStyle w:val="Heading2"/>
      </w:pPr>
      <w:r>
        <w:rPr>
          <w:color w:val="143242"/>
        </w:rPr>
        <w:t>Slide 3. Why This Matters for Year-3 Doctors</w:t>
      </w:r>
    </w:p>
    <w:p>
      <w:r>
        <w:rPr>
          <w:b w:val="0"/>
          <w:i w:val="0"/>
        </w:rPr>
        <w:t>Open with curiosity: if inheritance explains &lt;15% of cancers, what explains the rest?</w:t>
      </w:r>
    </w:p>
    <w:p>
      <w:r>
        <w:rPr>
          <w:b w:val="0"/>
          <w:i w:val="0"/>
        </w:rPr>
      </w:r>
    </w:p>
    <w:p>
      <w:pPr>
        <w:pStyle w:val="Heading2"/>
      </w:pPr>
      <w:r>
        <w:rPr>
          <w:color w:val="143242"/>
        </w:rPr>
        <w:t>Slide 4. Big Picture Numbers</w:t>
      </w:r>
    </w:p>
    <w:p>
      <w:r>
        <w:rPr>
          <w:b w:val="0"/>
          <w:i w:val="0"/>
        </w:rPr>
        <w:t>Cite Doll-type avoidable-risk teaching figures as order-of-magnitude guidance, not exact local statistics.</w:t>
      </w:r>
    </w:p>
    <w:p>
      <w:r>
        <w:rPr>
          <w:b w:val="0"/>
          <w:i w:val="0"/>
        </w:rPr>
      </w:r>
    </w:p>
    <w:p>
      <w:pPr>
        <w:pStyle w:val="Heading2"/>
      </w:pPr>
      <w:r>
        <w:rPr>
          <w:color w:val="143242"/>
        </w:rPr>
        <w:t>Slide 5. Chemical Carcinogens</w:t>
      </w:r>
    </w:p>
    <w:p>
      <w:r>
        <w:rPr>
          <w:b w:val="0"/>
          <w:i w:val="0"/>
        </w:rPr>
        <w:t>We now enter chemical carcinogenesis — the core mechanism block of the lecture.</w:t>
      </w:r>
    </w:p>
    <w:p>
      <w:r>
        <w:rPr>
          <w:b w:val="0"/>
          <w:i w:val="0"/>
        </w:rPr>
      </w:r>
    </w:p>
    <w:p>
      <w:pPr>
        <w:pStyle w:val="Heading2"/>
      </w:pPr>
      <w:r>
        <w:rPr>
          <w:color w:val="143242"/>
        </w:rPr>
        <w:t>Slide 6. What Is a Chemical Carcinogen?</w:t>
      </w:r>
    </w:p>
    <w:p>
      <w:r>
        <w:rPr>
          <w:b w:val="0"/>
          <w:i w:val="0"/>
        </w:rPr>
        <w:t>Tell the Pott story briefly — it invented environmental cancer thinking.</w:t>
      </w:r>
    </w:p>
    <w:p>
      <w:r>
        <w:rPr>
          <w:b w:val="0"/>
          <w:i w:val="0"/>
        </w:rPr>
      </w:r>
    </w:p>
    <w:p>
      <w:pPr>
        <w:pStyle w:val="Heading2"/>
      </w:pPr>
      <w:r>
        <w:rPr>
          <w:color w:val="143242"/>
        </w:rPr>
        <w:t>Slide 7. IARC Classification</w:t>
      </w:r>
    </w:p>
    <w:p>
      <w:r>
        <w:rPr>
          <w:b w:val="0"/>
          <w:i w:val="0"/>
        </w:rPr>
        <w:t>Walk down the pyramid. Group 1 means established human carcinogen — examples: tobacco smoke, benzene, asbestos, ionizing radiation, ethanol, aflatoxin. Stress that classification is about hazard evidence, not individual risk prediction. Always ask: who is exposed, how much, how long?</w:t>
      </w:r>
    </w:p>
    <w:p>
      <w:r>
        <w:rPr>
          <w:b w:val="0"/>
          <w:i w:val="0"/>
        </w:rPr>
      </w:r>
    </w:p>
    <w:p>
      <w:pPr>
        <w:pStyle w:val="Heading2"/>
      </w:pPr>
      <w:r>
        <w:rPr>
          <w:color w:val="143242"/>
        </w:rPr>
        <w:t>Slide 8. Genotoxic vs Non-Genotoxic — Visual Overview</w:t>
      </w:r>
    </w:p>
    <w:p>
      <w:r>
        <w:rPr>
          <w:b w:val="0"/>
          <w:i w:val="0"/>
        </w:rPr>
        <w:t>Use this figure as the fork in the road. Genotoxic agents mutate DNA. Non-genotoxic agents drive proliferation, receptor signaling, cytotoxicity with regeneration, or oxidative stress. Ask a student for one example of each before you reveal lists.</w:t>
      </w:r>
    </w:p>
    <w:p>
      <w:r>
        <w:rPr>
          <w:b w:val="0"/>
          <w:i w:val="0"/>
        </w:rPr>
      </w:r>
    </w:p>
    <w:p>
      <w:pPr>
        <w:pStyle w:val="Heading2"/>
      </w:pPr>
      <w:r>
        <w:rPr>
          <w:color w:val="143242"/>
        </w:rPr>
        <w:t>Slide 9. Mechanisms in Detail</w:t>
      </w:r>
    </w:p>
    <w:p>
      <w:r>
        <w:rPr>
          <w:b w:val="0"/>
          <w:i w:val="0"/>
        </w:rPr>
        <w:t>Stress metabolic activation: many chemicals are safe until CYP450 creates the ultimate carcinogen. Inter-individual enzyme differences partly explain susceptibility.</w:t>
      </w:r>
    </w:p>
    <w:p>
      <w:r>
        <w:rPr>
          <w:b w:val="0"/>
          <w:i w:val="0"/>
        </w:rPr>
      </w:r>
    </w:p>
    <w:p>
      <w:pPr>
        <w:pStyle w:val="Heading2"/>
      </w:pPr>
      <w:r>
        <w:rPr>
          <w:color w:val="143242"/>
        </w:rPr>
        <w:t>Slide 10. Initiation–Promotion–Progression — Diagram</w:t>
      </w:r>
    </w:p>
    <w:p>
      <w:r>
        <w:rPr>
          <w:b w:val="0"/>
          <w:i w:val="0"/>
        </w:rPr>
        <w:t>Walk left to right on the figure. Initiation = irreversible DNA hit. Promotion = expansion. Progression = invasion/metastasis. Return to this figure when you discuss tobacco and radiation.</w:t>
      </w:r>
    </w:p>
    <w:p>
      <w:r>
        <w:rPr>
          <w:b w:val="0"/>
          <w:i w:val="0"/>
        </w:rPr>
      </w:r>
    </w:p>
    <w:p>
      <w:pPr>
        <w:pStyle w:val="Heading2"/>
      </w:pPr>
      <w:r>
        <w:rPr>
          <w:color w:val="143242"/>
        </w:rPr>
        <w:t>Slide 11. Initiation–Promotion–Progression</w:t>
      </w:r>
    </w:p>
    <w:p>
      <w:r>
        <w:rPr>
          <w:b w:val="0"/>
          <w:i w:val="0"/>
        </w:rPr>
        <w:t>This is the master flowchart of the lecture. Initiation is the heritable DNA hit. Promotion expands that clone under continuous stimulation and is reversible if the promoter stops. Progression is irreversible evolution toward invasion and metastasis. Classic teaching model: mouse skin — benzo[a]pyrene initiator then phorbol ester promoter.</w:t>
      </w:r>
    </w:p>
    <w:p>
      <w:r>
        <w:rPr>
          <w:b w:val="0"/>
          <w:i w:val="0"/>
        </w:rPr>
      </w:r>
    </w:p>
    <w:p>
      <w:pPr>
        <w:pStyle w:val="Heading2"/>
      </w:pPr>
      <w:r>
        <w:rPr>
          <w:color w:val="143242"/>
        </w:rPr>
        <w:t>Slide 12. Classification by Carcinogenic Action / Behavior</w:t>
      </w:r>
    </w:p>
    <w:p>
      <w:r>
        <w:rPr>
          <w:b w:val="0"/>
          <w:i w:val="0"/>
        </w:rPr>
        <w:t>Students confuse ‘classification systems.’ Put all five on the board as complementary lenses.</w:t>
      </w:r>
    </w:p>
    <w:p>
      <w:r>
        <w:rPr>
          <w:b w:val="0"/>
          <w:i w:val="0"/>
        </w:rPr>
      </w:r>
    </w:p>
    <w:p>
      <w:pPr>
        <w:pStyle w:val="Heading2"/>
      </w:pPr>
      <w:r>
        <w:rPr>
          <w:color w:val="143242"/>
        </w:rPr>
        <w:t>Slide 13. Exposure Routes — Visual</w:t>
      </w:r>
    </w:p>
    <w:p>
      <w:r>
        <w:rPr>
          <w:b w:val="0"/>
          <w:i w:val="0"/>
        </w:rPr>
        <w:t>Point to each portal on the figure. Ask which dominates in factories (inhalation). Mention arsenic in water (ingestion) and solvent dermatitis/absorption (skin).</w:t>
      </w:r>
    </w:p>
    <w:p>
      <w:r>
        <w:rPr>
          <w:b w:val="0"/>
          <w:i w:val="0"/>
        </w:rPr>
      </w:r>
    </w:p>
    <w:p>
      <w:pPr>
        <w:pStyle w:val="Heading2"/>
      </w:pPr>
      <w:r>
        <w:rPr>
          <w:color w:val="143242"/>
        </w:rPr>
        <w:t>Slide 14. Exposure Types</w:t>
      </w:r>
    </w:p>
    <w:p>
      <w:r>
        <w:rPr>
          <w:b w:val="0"/>
          <w:i w:val="0"/>
        </w:rPr>
        <w:t>Risk ≈ intensity × duration × susceptibility × route. Inhalation dominates workplaces. Skin absorption is underestimated for solvents. Ingestion matters for foodborne toxins like aflatoxin and contaminated water (arsenic). Mention that the same agent can affect different organs depending on route and metabolism.</w:t>
      </w:r>
    </w:p>
    <w:p>
      <w:r>
        <w:rPr>
          <w:b w:val="0"/>
          <w:i w:val="0"/>
        </w:rPr>
      </w:r>
    </w:p>
    <w:p>
      <w:pPr>
        <w:pStyle w:val="Heading2"/>
      </w:pPr>
      <w:r>
        <w:rPr>
          <w:color w:val="143242"/>
        </w:rPr>
        <w:t>Slide 15. Environmental Chemical Carcinogens — Examples</w:t>
      </w:r>
    </w:p>
    <w:p>
      <w:r>
        <w:rPr>
          <w:b w:val="0"/>
          <w:i w:val="0"/>
        </w:rPr>
        <w:t>Distinguish high-dose occupational clusters from low-dose general population exposures.</w:t>
      </w:r>
    </w:p>
    <w:p>
      <w:r>
        <w:rPr>
          <w:b w:val="0"/>
          <w:i w:val="0"/>
        </w:rPr>
      </w:r>
    </w:p>
    <w:p>
      <w:pPr>
        <w:pStyle w:val="Heading2"/>
      </w:pPr>
      <w:r>
        <w:rPr>
          <w:color w:val="143242"/>
        </w:rPr>
        <w:t>Slide 16. Occupational Carcinogens — High-Yield List</w:t>
      </w:r>
    </w:p>
    <w:p>
      <w:r>
        <w:rPr>
          <w:b w:val="0"/>
          <w:i w:val="0"/>
        </w:rPr>
        <w:t>Use agent → cancer flash pairs. Ask students for vinyl chloride and asbestos before revealing.</w:t>
      </w:r>
    </w:p>
    <w:p>
      <w:r>
        <w:rPr>
          <w:b w:val="0"/>
          <w:i w:val="0"/>
        </w:rPr>
      </w:r>
    </w:p>
    <w:p>
      <w:pPr>
        <w:pStyle w:val="Heading2"/>
      </w:pPr>
      <w:r>
        <w:rPr>
          <w:color w:val="143242"/>
        </w:rPr>
        <w:t>Slide 17. Selected Agent–Cancer Pairs</w:t>
      </w:r>
    </w:p>
    <w:p>
      <w:r>
        <w:rPr>
          <w:b w:val="0"/>
          <w:i w:val="0"/>
        </w:rPr>
        <w:t>This is a high-yield exam slide. Pause and quiz.</w:t>
      </w:r>
    </w:p>
    <w:p>
      <w:r>
        <w:rPr>
          <w:b w:val="0"/>
          <w:i w:val="0"/>
        </w:rPr>
      </w:r>
    </w:p>
    <w:p>
      <w:pPr>
        <w:pStyle w:val="Heading2"/>
      </w:pPr>
      <w:r>
        <w:rPr>
          <w:color w:val="143242"/>
        </w:rPr>
        <w:t>Slide 18. Protection Hierarchy</w:t>
      </w:r>
    </w:p>
    <w:p>
      <w:r>
        <w:rPr>
          <w:b w:val="0"/>
          <w:i w:val="0"/>
        </w:rPr>
        <w:t>Teach the industrial-hygiene hierarchy: PPE is not the first answer. Substitution and engineering controls prevent more cancer than gloves alone. Link to regulation (exposure limits), workplace rights, and the physician’s role in occupational history-taking.</w:t>
      </w:r>
    </w:p>
    <w:p>
      <w:r>
        <w:rPr>
          <w:b w:val="0"/>
          <w:i w:val="0"/>
        </w:rPr>
      </w:r>
    </w:p>
    <w:p>
      <w:pPr>
        <w:pStyle w:val="Heading2"/>
      </w:pPr>
      <w:r>
        <w:rPr>
          <w:color w:val="143242"/>
        </w:rPr>
        <w:t>Slide 19. Tobacco &amp; Cancer</w:t>
      </w:r>
    </w:p>
    <w:p>
      <w:r>
        <w:rPr>
          <w:b w:val="0"/>
          <w:i w:val="0"/>
        </w:rPr>
        <w:t>Tobacco is the most important avoidable chemical carcinogen mixture in clinical practice.</w:t>
      </w:r>
    </w:p>
    <w:p>
      <w:r>
        <w:rPr>
          <w:b w:val="0"/>
          <w:i w:val="0"/>
        </w:rPr>
      </w:r>
    </w:p>
    <w:p>
      <w:pPr>
        <w:pStyle w:val="Heading2"/>
      </w:pPr>
      <w:r>
        <w:rPr>
          <w:color w:val="143242"/>
        </w:rPr>
        <w:t>Slide 20. Tobacco — Scale of the Problem</w:t>
      </w:r>
    </w:p>
    <w:p>
      <w:r>
        <w:rPr>
          <w:b w:val="0"/>
          <w:i w:val="0"/>
        </w:rPr>
        <w:t>Make it clinical: every history should include smoking status and pack-years.</w:t>
      </w:r>
    </w:p>
    <w:p>
      <w:r>
        <w:rPr>
          <w:b w:val="0"/>
          <w:i w:val="0"/>
        </w:rPr>
      </w:r>
    </w:p>
    <w:p>
      <w:pPr>
        <w:pStyle w:val="Heading2"/>
      </w:pPr>
      <w:r>
        <w:rPr>
          <w:color w:val="143242"/>
        </w:rPr>
        <w:t>Slide 21. What’s Inside Smoke? — Chemical Cocktail</w:t>
      </w:r>
    </w:p>
    <w:p>
      <w:r>
        <w:rPr>
          <w:b w:val="0"/>
          <w:i w:val="0"/>
        </w:rPr>
        <w:t>Narrate the bubbles: PAHs and nitrosamines damage DNA; metals and Po-210 add to the burden; nicotine is not the main mutagen — it is the addiction engine that keeps exposure chronic.</w:t>
      </w:r>
    </w:p>
    <w:p>
      <w:r>
        <w:rPr>
          <w:b w:val="0"/>
          <w:i w:val="0"/>
        </w:rPr>
      </w:r>
    </w:p>
    <w:p>
      <w:pPr>
        <w:pStyle w:val="Heading2"/>
      </w:pPr>
      <w:r>
        <w:rPr>
          <w:color w:val="143242"/>
        </w:rPr>
        <w:t>Slide 22. Key Carcinogens in Tobacco Smoke</w:t>
      </w:r>
    </w:p>
    <w:p>
      <w:r>
        <w:rPr>
          <w:b w:val="0"/>
          <w:i w:val="0"/>
        </w:rPr>
        <w:t>Link back to chemical section: many of these are classic IARC agents.</w:t>
      </w:r>
    </w:p>
    <w:p>
      <w:r>
        <w:rPr>
          <w:b w:val="0"/>
          <w:i w:val="0"/>
        </w:rPr>
      </w:r>
    </w:p>
    <w:p>
      <w:pPr>
        <w:pStyle w:val="Heading2"/>
      </w:pPr>
      <w:r>
        <w:rPr>
          <w:color w:val="143242"/>
        </w:rPr>
        <w:t>Slide 23. Mechanism of Tobacco Carcinogenesis</w:t>
      </w:r>
    </w:p>
    <w:p>
      <w:r>
        <w:rPr>
          <w:b w:val="0"/>
          <w:i w:val="0"/>
        </w:rPr>
        <w:t>Draw the pathway on the board if time: Smoke → activation → adduct → mutation → field → cancer.</w:t>
      </w:r>
    </w:p>
    <w:p>
      <w:r>
        <w:rPr>
          <w:b w:val="0"/>
          <w:i w:val="0"/>
        </w:rPr>
      </w:r>
    </w:p>
    <w:p>
      <w:pPr>
        <w:pStyle w:val="Heading2"/>
      </w:pPr>
      <w:r>
        <w:rPr>
          <w:color w:val="143242"/>
        </w:rPr>
        <w:t>Slide 24. Other Tobacco Products</w:t>
      </w:r>
    </w:p>
    <w:p>
      <w:r>
        <w:rPr>
          <w:b w:val="0"/>
          <w:i w:val="0"/>
        </w:rPr>
        <w:t>Do not let students think ‘only cigarettes cause cancer.’ Combusted products share many toxicants. Smokeless tobacco still delivers nitrosamines. Waterpipe sessions can deliver large toxicant doses. E-cigarettes: stress they are not harmless, evidence is evolving, and they should not be started by never-smokers; cessation context is different.</w:t>
      </w:r>
    </w:p>
    <w:p>
      <w:r>
        <w:rPr>
          <w:b w:val="0"/>
          <w:i w:val="0"/>
        </w:rPr>
      </w:r>
    </w:p>
    <w:p>
      <w:pPr>
        <w:pStyle w:val="Heading2"/>
      </w:pPr>
      <w:r>
        <w:rPr>
          <w:color w:val="143242"/>
        </w:rPr>
        <w:t>Slide 25. Mainstream vs Sidestream Smoke — Visual</w:t>
      </w:r>
    </w:p>
    <w:p>
      <w:r>
        <w:rPr>
          <w:b w:val="0"/>
          <w:i w:val="0"/>
        </w:rPr>
        <w:t>Stand at the figure and define MSS vs SSS. Ask: which exposes children in a car? (SSS/second-hand).</w:t>
      </w:r>
    </w:p>
    <w:p>
      <w:r>
        <w:rPr>
          <w:b w:val="0"/>
          <w:i w:val="0"/>
        </w:rPr>
      </w:r>
    </w:p>
    <w:p>
      <w:pPr>
        <w:pStyle w:val="Heading2"/>
      </w:pPr>
      <w:r>
        <w:rPr>
          <w:color w:val="143242"/>
        </w:rPr>
        <w:t>Slide 26. MSS vs SSS</w:t>
      </w:r>
    </w:p>
    <w:p>
      <w:r>
        <w:rPr>
          <w:b w:val="0"/>
          <w:i w:val="0"/>
        </w:rPr>
        <w:t>Define clearly. Sidestream smoke is a major part of second-hand smoke. Because combustion conditions differ, SSS can be disproportionately toxic for some compounds. Emphasize smoke-free policies protect workers and children. Second-hand smoke is an IARC Group 1 carcinogen.</w:t>
      </w:r>
    </w:p>
    <w:p>
      <w:r>
        <w:rPr>
          <w:b w:val="0"/>
          <w:i w:val="0"/>
        </w:rPr>
      </w:r>
    </w:p>
    <w:p>
      <w:pPr>
        <w:pStyle w:val="Heading2"/>
      </w:pPr>
      <w:r>
        <w:rPr>
          <w:color w:val="143242"/>
        </w:rPr>
        <w:t>Slide 27. Second-Hand (Environmental) Tobacco Smoke</w:t>
      </w:r>
    </w:p>
    <w:p>
      <w:r>
        <w:rPr>
          <w:b w:val="0"/>
          <w:i w:val="0"/>
        </w:rPr>
        <w:t>Connect to pediatrics and occupational health (hospitality workers historically heavily exposed).</w:t>
      </w:r>
    </w:p>
    <w:p>
      <w:r>
        <w:rPr>
          <w:b w:val="0"/>
          <w:i w:val="0"/>
        </w:rPr>
      </w:r>
    </w:p>
    <w:p>
      <w:pPr>
        <w:pStyle w:val="Heading2"/>
      </w:pPr>
      <w:r>
        <w:rPr>
          <w:color w:val="143242"/>
        </w:rPr>
        <w:t>Slide 28. Clinical Counseling Pearls — Tobacco</w:t>
      </w:r>
    </w:p>
    <w:p>
      <w:r>
        <w:rPr>
          <w:b w:val="0"/>
          <w:i w:val="0"/>
        </w:rPr>
        <w:t>Role-play one 60-second cessation advice if time allows.</w:t>
      </w:r>
    </w:p>
    <w:p>
      <w:r>
        <w:rPr>
          <w:b w:val="0"/>
          <w:i w:val="0"/>
        </w:rPr>
      </w:r>
    </w:p>
    <w:p>
      <w:pPr>
        <w:pStyle w:val="Heading2"/>
      </w:pPr>
      <w:r>
        <w:rPr>
          <w:color w:val="143242"/>
        </w:rPr>
        <w:t>Slide 29. Radiation Carcinogenesis</w:t>
      </w:r>
    </w:p>
    <w:p>
      <w:r>
        <w:rPr>
          <w:b w:val="0"/>
          <w:i w:val="0"/>
        </w:rPr>
        <w:t>Radiation is a physical carcinogen that creates chemical injury in DNA — bridging physics and pathology.</w:t>
      </w:r>
    </w:p>
    <w:p>
      <w:r>
        <w:rPr>
          <w:b w:val="0"/>
          <w:i w:val="0"/>
        </w:rPr>
      </w:r>
    </w:p>
    <w:p>
      <w:pPr>
        <w:pStyle w:val="Heading2"/>
      </w:pPr>
      <w:r>
        <w:rPr>
          <w:color w:val="143242"/>
        </w:rPr>
        <w:t>Slide 30. Radiation Types</w:t>
      </w:r>
    </w:p>
    <w:p>
      <w:r>
        <w:rPr>
          <w:b w:val="0"/>
          <w:i w:val="0"/>
        </w:rPr>
        <w:t>For Year 3, focus on ionizing radiation and UV as established carcinogens. Particulate radiation (alpha from radon) is highly damaging locally. Avoid spending lecture time on controversial RF debates — state that evidence is not comparable to tobacco, asbestos, or ionizing radiation.</w:t>
      </w:r>
    </w:p>
    <w:p>
      <w:r>
        <w:rPr>
          <w:b w:val="0"/>
          <w:i w:val="0"/>
        </w:rPr>
      </w:r>
    </w:p>
    <w:p>
      <w:pPr>
        <w:pStyle w:val="Heading2"/>
      </w:pPr>
      <w:r>
        <w:rPr>
          <w:color w:val="143242"/>
        </w:rPr>
        <w:t>Slide 31. How Radiation Damages DNA</w:t>
      </w:r>
    </w:p>
    <w:p>
      <w:r>
        <w:rPr>
          <w:b w:val="0"/>
          <w:i w:val="0"/>
        </w:rPr>
        <w:t>Explain direct vs indirect action. X/γ rays act largely via water radiolysis. Double-strand breaks are critical; misrepair causes chromosomal aberrations and cancer risk.</w:t>
      </w:r>
    </w:p>
    <w:p>
      <w:r>
        <w:rPr>
          <w:b w:val="0"/>
          <w:i w:val="0"/>
        </w:rPr>
      </w:r>
    </w:p>
    <w:p>
      <w:pPr>
        <w:pStyle w:val="Heading2"/>
      </w:pPr>
      <w:r>
        <w:rPr>
          <w:color w:val="143242"/>
        </w:rPr>
        <w:t>Slide 32. Radiation DNA Injury — Detail</w:t>
      </w:r>
    </w:p>
    <w:p>
      <w:r>
        <w:rPr>
          <w:b w:val="0"/>
          <w:i w:val="0"/>
        </w:rPr>
        <w:t>Mention that stochastic cancer risk has no sharp practical ‘safe zero’ — risk rises with dose, while tissue reactions (deterministic) have thresholds.</w:t>
      </w:r>
    </w:p>
    <w:p>
      <w:r>
        <w:rPr>
          <w:b w:val="0"/>
          <w:i w:val="0"/>
        </w:rPr>
      </w:r>
    </w:p>
    <w:p>
      <w:pPr>
        <w:pStyle w:val="Heading2"/>
      </w:pPr>
      <w:r>
        <w:rPr>
          <w:color w:val="143242"/>
        </w:rPr>
        <w:t>Slide 33. From Misrepair to Cancer</w:t>
      </w:r>
    </w:p>
    <w:p>
      <w:r>
        <w:rPr>
          <w:b w:val="0"/>
          <w:i w:val="0"/>
        </w:rPr>
        <w:t>Age at exposure matters — children often have higher lifetime risk for many tissues.</w:t>
      </w:r>
    </w:p>
    <w:p>
      <w:r>
        <w:rPr>
          <w:b w:val="0"/>
          <w:i w:val="0"/>
        </w:rPr>
      </w:r>
    </w:p>
    <w:p>
      <w:pPr>
        <w:pStyle w:val="Heading2"/>
      </w:pPr>
      <w:r>
        <w:rPr>
          <w:color w:val="143242"/>
        </w:rPr>
        <w:t>Slide 34. Tissue Sensitivity Highlights</w:t>
      </w:r>
    </w:p>
    <w:p>
      <w:r>
        <w:rPr>
          <w:b w:val="0"/>
          <w:i w:val="0"/>
        </w:rPr>
        <w:t>Ask: why is thyroid cancer a classic after childhood neck irradiation / fallout?</w:t>
      </w:r>
    </w:p>
    <w:p>
      <w:r>
        <w:rPr>
          <w:b w:val="0"/>
          <w:i w:val="0"/>
        </w:rPr>
      </w:r>
    </w:p>
    <w:p>
      <w:pPr>
        <w:pStyle w:val="Heading2"/>
      </w:pPr>
      <w:r>
        <w:rPr>
          <w:color w:val="143242"/>
        </w:rPr>
        <w:t>Slide 35. Environmental vs Medical Radiation</w:t>
      </w:r>
    </w:p>
    <w:p>
      <w:r>
        <w:rPr>
          <w:b w:val="0"/>
          <w:i w:val="0"/>
        </w:rPr>
        <w:t>Radon is the teaching pearl for environmental exposure — second leading cause of lung cancer after smoking in many countries, synergistic with tobacco. For medical exposure, teach justification and ALARA. CT is useful but not casual. Radiotherapy’s benefit outweighs secondary cancer risk when indicated; survivors still need long-term awareness.</w:t>
      </w:r>
    </w:p>
    <w:p>
      <w:r>
        <w:rPr>
          <w:b w:val="0"/>
          <w:i w:val="0"/>
        </w:rPr>
      </w:r>
    </w:p>
    <w:p>
      <w:pPr>
        <w:pStyle w:val="Heading2"/>
      </w:pPr>
      <w:r>
        <w:rPr>
          <w:color w:val="143242"/>
        </w:rPr>
        <w:t>Slide 36. Medical Radiation — What Future Doctors Must Do</w:t>
      </w:r>
    </w:p>
    <w:p>
      <w:r>
        <w:rPr>
          <w:b w:val="0"/>
          <w:i w:val="0"/>
        </w:rPr>
        <w:t>This is a professionalism slide as much as a science slide.</w:t>
      </w:r>
    </w:p>
    <w:p>
      <w:r>
        <w:rPr>
          <w:b w:val="0"/>
          <w:i w:val="0"/>
        </w:rPr>
      </w:r>
    </w:p>
    <w:p>
      <w:pPr>
        <w:pStyle w:val="Heading2"/>
      </w:pPr>
      <w:r>
        <w:rPr>
          <w:color w:val="143242"/>
        </w:rPr>
        <w:t>Slide 37. Chemicals + Tobacco + Radiation — Shared Biology</w:t>
      </w:r>
    </w:p>
    <w:p>
      <w:r>
        <w:rPr>
          <w:b w:val="0"/>
          <w:i w:val="0"/>
        </w:rPr>
        <w:t>Draw a simple Venn on the board: overlapping mechanisms, distinct sources.</w:t>
      </w:r>
    </w:p>
    <w:p>
      <w:r>
        <w:rPr>
          <w:b w:val="0"/>
          <w:i w:val="0"/>
        </w:rPr>
      </w:r>
    </w:p>
    <w:p>
      <w:pPr>
        <w:pStyle w:val="Heading2"/>
      </w:pPr>
      <w:r>
        <w:rPr>
          <w:color w:val="143242"/>
        </w:rPr>
        <w:t>Slide 38. Prevention &amp; Close</w:t>
      </w:r>
    </w:p>
    <w:p>
      <w:r>
        <w:rPr>
          <w:b w:val="0"/>
          <w:i w:val="0"/>
        </w:rPr>
        <w:t>Finish with agency — most of these risks are modifiable.</w:t>
      </w:r>
    </w:p>
    <w:p>
      <w:r>
        <w:rPr>
          <w:b w:val="0"/>
          <w:i w:val="0"/>
        </w:rPr>
      </w:r>
    </w:p>
    <w:p>
      <w:pPr>
        <w:pStyle w:val="Heading2"/>
      </w:pPr>
      <w:r>
        <w:rPr>
          <w:color w:val="143242"/>
        </w:rPr>
        <w:t>Slide 39. Integrated Prevention Checklist</w:t>
      </w:r>
    </w:p>
    <w:p>
      <w:r>
        <w:rPr>
          <w:b w:val="0"/>
          <w:i w:val="0"/>
        </w:rPr>
        <w:t>Have the class shout items before you click through.</w:t>
      </w:r>
    </w:p>
    <w:p>
      <w:r>
        <w:rPr>
          <w:b w:val="0"/>
          <w:i w:val="0"/>
        </w:rPr>
      </w:r>
    </w:p>
    <w:p>
      <w:pPr>
        <w:pStyle w:val="Heading2"/>
      </w:pPr>
      <w:r>
        <w:rPr>
          <w:color w:val="143242"/>
        </w:rPr>
        <w:t>Slide 40. Take-Home Messages</w:t>
      </w:r>
    </w:p>
    <w:p>
      <w:r>
        <w:rPr>
          <w:b w:val="0"/>
          <w:i w:val="0"/>
        </w:rPr>
        <w:t>Close by repeating these six points. Invite questions from each section. Remind students the Word document contains the full speaking script for revision.</w:t>
      </w:r>
    </w:p>
    <w:p>
      <w:r>
        <w:rPr>
          <w:b w:val="0"/>
          <w:i w:val="0"/>
        </w:rPr>
      </w:r>
    </w:p>
    <w:p>
      <w:pPr>
        <w:pStyle w:val="Heading2"/>
      </w:pPr>
      <w:r>
        <w:rPr>
          <w:color w:val="143242"/>
        </w:rPr>
        <w:t>Slide 41. Selected References</w:t>
      </w:r>
    </w:p>
    <w:p>
      <w:r>
        <w:rPr>
          <w:b w:val="0"/>
          <w:i w:val="0"/>
        </w:rPr>
        <w:t>Point students to IARC as the living classification source.</w:t>
      </w:r>
    </w:p>
    <w:p>
      <w:r>
        <w:rPr>
          <w:b w:val="0"/>
          <w:i w:val="0"/>
        </w:rPr>
      </w:r>
    </w:p>
    <w:p>
      <w:pPr>
        <w:pStyle w:val="Heading1"/>
      </w:pPr>
      <w:r>
        <w:rPr>
          <w:color w:val="143242"/>
        </w:rPr>
        <w:t>Optional Mini-Cases for Class</w:t>
      </w:r>
    </w:p>
    <w:p>
      <w:pPr>
        <w:pStyle w:val="ListBullet"/>
      </w:pPr>
      <w:r>
        <w:t>A plastics worker develops hepatic angiosarcoma — which classic agent?</w:t>
      </w:r>
    </w:p>
    <w:p>
      <w:pPr>
        <w:pStyle w:val="ListBullet"/>
      </w:pPr>
      <w:r>
        <w:t>Why can colorectal cancer rates change within one generation after migration?</w:t>
      </w:r>
    </w:p>
    <w:p>
      <w:pPr>
        <w:pStyle w:val="ListBullet"/>
      </w:pPr>
      <w:r>
        <w:t>Parents smoke in a car with children — explain MSS vs SSS and second-hand risk.</w:t>
      </w:r>
    </w:p>
    <w:p>
      <w:pPr>
        <w:pStyle w:val="ListBullet"/>
      </w:pPr>
      <w:r>
        <w:t>A colleague wants a CT ‘just in case’ with no clinical question — apply justification/ALARA.</w:t>
      </w:r>
    </w:p>
    <w:p>
      <w:pPr>
        <w:pStyle w:val="ListBullet"/>
      </w:pPr>
      <w:r>
        <w:t>Name one genotoxic and one non-genotoxic carcinogenic mechanism.</w:t>
      </w:r>
    </w:p>
    <w:p>
      <w:pPr>
        <w:pStyle w:val="ListBullet"/>
      </w:pPr>
      <w:r>
        <w:t>Is nicotine the main DNA-damaging carcinogen in cigarettes? Why does it still matter?</w:t>
      </w:r>
    </w:p>
    <w:p>
      <w:pPr>
        <w:pStyle w:val="Heading1"/>
      </w:pPr>
      <w:r>
        <w:rPr>
          <w:color w:val="143242"/>
        </w:rPr>
        <w:t>Key References</w:t>
      </w:r>
    </w:p>
    <w:p>
      <w:pPr>
        <w:pStyle w:val="ListBullet"/>
      </w:pPr>
      <w:r>
        <w:t>IARC Monographs — https://monographs.iarc.who.int/</w:t>
      </w:r>
    </w:p>
    <w:p>
      <w:pPr>
        <w:pStyle w:val="ListBullet"/>
      </w:pPr>
      <w:r>
        <w:t>WHO / IARC resources on tobacco and radiation</w:t>
      </w:r>
    </w:p>
    <w:p>
      <w:pPr>
        <w:pStyle w:val="ListBullet"/>
      </w:pPr>
      <w:r>
        <w:t>Robbins &amp; Kumar — Basic Pathology</w:t>
      </w:r>
    </w:p>
    <w:p>
      <w:pPr>
        <w:pStyle w:val="ListBullet"/>
      </w:pPr>
      <w:r>
        <w:t>DeVita — Cancer: Principles &amp; Practice of Oncology</w:t>
      </w:r>
    </w:p>
    <w:p>
      <w:pPr>
        <w:pStyle w:val="ListBullet"/>
      </w:pPr>
      <w:r>
        <w:t>Perez &amp; Brady — Principles and Practice of Radiation Oncology</w:t>
      </w:r>
    </w:p>
    <w:p>
      <w:pPr>
        <w:pStyle w:val="ListBullet"/>
      </w:pPr>
      <w:r>
        <w:t>Doll R. classic analyses of avoidable cancer causes</w:t>
      </w:r>
    </w:p>
    <w:p>
      <w:pPr>
        <w:pStyle w:val="ListBullet"/>
      </w:pPr>
      <w:r>
        <w:t>NCI / NIEHS environmental carcinogen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