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rFonts w:ascii="Times New Roman" w:hAnsi="Times New Roman"/>
          <w:b/>
          <w:color w:val="1A476F"/>
          <w:sz w:val="32"/>
        </w:rPr>
        <w:t>Kök Hücre Transplantasyonunda Mikrobiyota: Patogenez, Klinik Sonuçlar ve Terapötik Müdahaleler</w:t>
      </w:r>
    </w:p>
    <w:p>
      <w:pPr>
        <w:jc w:val="center"/>
      </w:pPr>
      <w:r>
        <w:rPr>
          <w:rFonts w:ascii="Times New Roman" w:hAnsi="Times New Roman"/>
          <w:i/>
          <w:sz w:val="24"/>
        </w:rPr>
        <w:t>Derleme</w:t>
      </w:r>
    </w:p>
    <w:p>
      <w:pPr>
        <w:jc w:val="center"/>
      </w:pPr>
      <w:r>
        <w:rPr>
          <w:rFonts w:ascii="Times New Roman" w:hAnsi="Times New Roman"/>
          <w:i/>
          <w:sz w:val="20"/>
        </w:rPr>
        <w:t>Anahtar sözcükler: allojeneik hematopoietik kök hücre transplantasyonu; bağırsak mikrobiyotası; graft-versus-host hastalığı; fekal mikrobiyota transplantasyonu; antibiyotik yönetimi</w:t>
      </w:r>
    </w:p>
    <w:p>
      <w:pPr>
        <w:pStyle w:val="Heading2"/>
      </w:pPr>
      <w:r>
        <w:t>Özet</w:t>
      </w:r>
    </w:p>
    <w:p>
      <w:pPr>
        <w:ind w:firstLine="709"/>
      </w:pPr>
      <w:r>
        <w:rPr>
          <w:rFonts w:ascii="Times New Roman" w:hAnsi="Times New Roman"/>
          <w:sz w:val="24"/>
        </w:rPr>
        <w:t>Allojeneik hematopoietik kök hücre transplantasyonu (allo-HSCT), hematolojik malignitelerde küratif bir seçenek olmakla birlikte graft-versus-host hastalığı (GVHD), enfeksiyon ve transplantasyona bağlı mortalite ile sınırlanır. Son on yılda bağırsak mikrobiyotasının bu komplikasyonların patogenezinde merkezi bir düzenleyici olduğu gösterilmiştir. Allo-HSCT sürecinde alfa çeşitlilik kaybı, anaerob kommensallerin azalması ve tek takson (özellikle Enterococcus) dominasyonu tipik disbiyoz paternidir</w:t>
      </w:r>
      <w:r>
        <w:rPr>
          <w:rFonts w:ascii="Times New Roman" w:hAnsi="Times New Roman"/>
          <w:sz w:val="20"/>
          <w:vertAlign w:val="superscript"/>
        </w:rPr>
        <w:t>[1]</w:t>
      </w:r>
      <w:r>
        <w:rPr>
          <w:rFonts w:ascii="Times New Roman" w:hAnsi="Times New Roman"/>
          <w:sz w:val="20"/>
          <w:vertAlign w:val="superscript"/>
        </w:rPr>
        <w:t>[2]</w:t>
      </w:r>
      <w:r>
        <w:rPr>
          <w:rFonts w:ascii="Times New Roman" w:hAnsi="Times New Roman"/>
          <w:sz w:val="24"/>
        </w:rPr>
        <w:t>. Yüksek çeşitlilik daha iyi genel sağkalım, daha düşük transplantasyona bağlı mortalite ve daha az grade II–IV akut GVHD ile ilişkilidir</w:t>
      </w:r>
      <w:r>
        <w:rPr>
          <w:rFonts w:ascii="Times New Roman" w:hAnsi="Times New Roman"/>
          <w:sz w:val="20"/>
          <w:vertAlign w:val="superscript"/>
        </w:rPr>
        <w:t>[11]</w:t>
      </w:r>
      <w:r>
        <w:rPr>
          <w:rFonts w:ascii="Times New Roman" w:hAnsi="Times New Roman"/>
          <w:sz w:val="24"/>
        </w:rPr>
        <w:t>. Koruyucu taksonlar (Blautia, butirat üreten Clostridia) ve kısa zincirli yağ asitleri epitel bütünlüğünü ve immün toleransı desteklerken; anaerob spektrumlu antibiyotikler, mukozal hasar ve laktoz bağımlı Enterococcus genişlemesi zararlı yönde etki eder</w:t>
      </w:r>
      <w:r>
        <w:rPr>
          <w:rFonts w:ascii="Times New Roman" w:hAnsi="Times New Roman"/>
          <w:sz w:val="20"/>
          <w:vertAlign w:val="superscript"/>
        </w:rPr>
        <w:t>[3,4,5,6]</w:t>
      </w:r>
      <w:r>
        <w:rPr>
          <w:rFonts w:ascii="Times New Roman" w:hAnsi="Times New Roman"/>
          <w:sz w:val="24"/>
        </w:rPr>
        <w:t>. Antibiyotik yönetimi, prebiyotik/lif destekleri ve fekal mikrobiyota transplantasyonu (FMT) klinik olarak araştırılan müdahalelerdir; steroid dirençli gastrointestinal GVHD’de havuzlanmış donör ürünleriyle umut verici faz 2 verileri bildirilmiştir</w:t>
      </w:r>
      <w:r>
        <w:rPr>
          <w:rFonts w:ascii="Times New Roman" w:hAnsi="Times New Roman"/>
          <w:sz w:val="20"/>
          <w:vertAlign w:val="superscript"/>
        </w:rPr>
        <w:t>[13]</w:t>
      </w:r>
      <w:r>
        <w:rPr>
          <w:rFonts w:ascii="Times New Roman" w:hAnsi="Times New Roman"/>
          <w:sz w:val="20"/>
          <w:vertAlign w:val="superscript"/>
        </w:rPr>
        <w:t>[14]</w:t>
      </w:r>
      <w:r>
        <w:rPr>
          <w:rFonts w:ascii="Times New Roman" w:hAnsi="Times New Roman"/>
          <w:sz w:val="24"/>
        </w:rPr>
        <w:t>. Bu derleme, temel (landmark) çalışmaları kaçırmadan özellikle son üç yılın bulgularını numaralı kaynakça ile özetler.</w:t>
      </w:r>
    </w:p>
    <w:p>
      <w:pPr>
        <w:pStyle w:val="Heading2"/>
      </w:pPr>
      <w:r>
        <w:t>1. Giriş</w:t>
      </w:r>
    </w:p>
    <w:p>
      <w:pPr>
        <w:ind w:firstLine="709"/>
      </w:pPr>
      <w:r>
        <w:rPr>
          <w:rFonts w:ascii="Times New Roman" w:hAnsi="Times New Roman"/>
          <w:sz w:val="24"/>
        </w:rPr>
        <w:t>Allo-HSCT, donör kaynaklı hematopoietik kök ve progenitör hücrelerin alıcıya aktarılmasıyla hem hematopoezi yeniden kurar hem de graft-versus-tümör etkisini sağlar. Başarının önündeki başlıca engeller akut ve kronik GVHD, bakteriyemi/enfeksiyon ve relapstır. Bağırsak mikrobiyotasının transplantasyon sonuçlarını etkilediğine dair ilk deneysel ipuçları 1970’lerde germ-free ve dekontamine fare modellerinden gelmiştir</w:t>
      </w:r>
      <w:r>
        <w:rPr>
          <w:rFonts w:ascii="Times New Roman" w:hAnsi="Times New Roman"/>
          <w:sz w:val="20"/>
          <w:vertAlign w:val="superscript"/>
        </w:rPr>
        <w:t>[8]</w:t>
      </w:r>
      <w:r>
        <w:rPr>
          <w:rFonts w:ascii="Times New Roman" w:hAnsi="Times New Roman"/>
          <w:sz w:val="20"/>
          <w:vertAlign w:val="superscript"/>
        </w:rPr>
        <w:t>[9]</w:t>
      </w:r>
      <w:r>
        <w:rPr>
          <w:rFonts w:ascii="Times New Roman" w:hAnsi="Times New Roman"/>
          <w:sz w:val="24"/>
        </w:rPr>
        <w:t>. O dönemde paradigma, bakteriyel antijenlerin GVHD’yi “ateşlediği” yönündeydi; güncel paradigma ise daha nüanslıdır: bazı kommensaller ve metabolitleri bariyeri ve toleransı korurken, disbiyoz ve patobiyont genişlemesi inflamasyonu körükler</w:t>
      </w:r>
      <w:r>
        <w:rPr>
          <w:rFonts w:ascii="Times New Roman" w:hAnsi="Times New Roman"/>
          <w:sz w:val="20"/>
          <w:vertAlign w:val="superscript"/>
        </w:rPr>
        <w:t>[10]</w:t>
      </w:r>
      <w:r>
        <w:rPr>
          <w:rFonts w:ascii="Times New Roman" w:hAnsi="Times New Roman"/>
          <w:sz w:val="20"/>
          <w:vertAlign w:val="superscript"/>
        </w:rPr>
        <w:t>[15]</w:t>
      </w:r>
      <w:r>
        <w:rPr>
          <w:rFonts w:ascii="Times New Roman" w:hAnsi="Times New Roman"/>
          <w:sz w:val="20"/>
          <w:vertAlign w:val="superscript"/>
        </w:rPr>
        <w:t>[28]</w:t>
      </w:r>
      <w:r>
        <w:rPr>
          <w:rFonts w:ascii="Times New Roman" w:hAnsi="Times New Roman"/>
          <w:sz w:val="24"/>
        </w:rPr>
        <w:t>.</w:t>
      </w:r>
    </w:p>
    <w:p>
      <w:pPr>
        <w:ind w:firstLine="709"/>
      </w:pPr>
      <w:r>
        <w:rPr>
          <w:rFonts w:ascii="Times New Roman" w:hAnsi="Times New Roman"/>
          <w:sz w:val="24"/>
        </w:rPr>
        <w:t>Teknik olarak alan, 16S rRNA gen dizilemesi, shotgun metagenomik, metabolomik (SCFA, indoksil sülfat vb.) ve çok merkezli longitudinal dışkı kohortlarıyla olgunlaşmıştır</w:t>
      </w:r>
      <w:r>
        <w:rPr>
          <w:rFonts w:ascii="Times New Roman" w:hAnsi="Times New Roman"/>
          <w:sz w:val="20"/>
          <w:vertAlign w:val="superscript"/>
        </w:rPr>
        <w:t>[1]</w:t>
      </w:r>
      <w:r>
        <w:rPr>
          <w:rFonts w:ascii="Times New Roman" w:hAnsi="Times New Roman"/>
          <w:sz w:val="20"/>
          <w:vertAlign w:val="superscript"/>
        </w:rPr>
        <w:t>[20]</w:t>
      </w:r>
      <w:r>
        <w:rPr>
          <w:rFonts w:ascii="Times New Roman" w:hAnsi="Times New Roman"/>
          <w:sz w:val="20"/>
          <w:vertAlign w:val="superscript"/>
        </w:rPr>
        <w:t>[26]</w:t>
      </w:r>
      <w:r>
        <w:rPr>
          <w:rFonts w:ascii="Times New Roman" w:hAnsi="Times New Roman"/>
          <w:sz w:val="24"/>
        </w:rPr>
        <w:t>. Biyolojik olarak ise mikrobiyota; mukozal bağışıklık, hematopoez, ilaç metabolizması ve sistemik inflamasyonla çapraz konuşur. Bu nedenle allo-HSCT’de “bağırsak florası” artık yalnızca enfeksiyon kaynağı değil, prognostik biyobelirteç ve potansiyel tedavi hedefi olarak ele alınmaktadır</w:t>
      </w:r>
      <w:r>
        <w:rPr>
          <w:rFonts w:ascii="Times New Roman" w:hAnsi="Times New Roman"/>
          <w:sz w:val="20"/>
          <w:vertAlign w:val="superscript"/>
        </w:rPr>
        <w:t>[20]</w:t>
      </w:r>
      <w:r>
        <w:rPr>
          <w:rFonts w:ascii="Times New Roman" w:hAnsi="Times New Roman"/>
          <w:sz w:val="20"/>
          <w:vertAlign w:val="superscript"/>
        </w:rPr>
        <w:t>[21]</w:t>
      </w:r>
      <w:r>
        <w:rPr>
          <w:rFonts w:ascii="Times New Roman" w:hAnsi="Times New Roman"/>
          <w:sz w:val="20"/>
          <w:vertAlign w:val="superscript"/>
        </w:rPr>
        <w:t>[34]</w:t>
      </w:r>
      <w:r>
        <w:rPr>
          <w:rFonts w:ascii="Times New Roman" w:hAnsi="Times New Roman"/>
          <w:sz w:val="24"/>
        </w:rPr>
        <w:t>.</w:t>
      </w:r>
    </w:p>
    <w:p>
      <w:pPr>
        <w:ind w:firstLine="709"/>
      </w:pPr>
      <w:r>
        <w:rPr>
          <w:rFonts w:ascii="Times New Roman" w:hAnsi="Times New Roman"/>
          <w:sz w:val="24"/>
        </w:rPr>
        <w:t>Bu derlemenin amacı: (i) allo-HSCT sırasında mikrobiyota bozulmasının tipik özelliklerini tanımlamak; (ii) GVHD, enfeksiyon ve sağkalımla ilişkili takson ve metabolitleri özetlemek; (iii) antibiyotik seçiminin rolünü vurgulamak; (iv) diyet/prebiyotik ve FMT başta olmak üzere müdahale stratejilerinin güncel kanıt düzeyini tartışmak. Literatür seçiminde 2023–2025 dönemi öncelenmiş; Peled, Taur, Jenq, Mathewson, Shono ve Stein-Thoeringer gibi temel çalışmalar korunmuştur. Metin eğitim amaçlı bir sentezdir; bireysel tedavi kararları merkez protokolü ve güncel kılavuzlara dayanmalıdır.</w:t>
      </w:r>
    </w:p>
    <w:p>
      <w:pPr>
        <w:pStyle w:val="Heading2"/>
      </w:pPr>
      <w:r>
        <w:t>2. Allo-HSCT’de mikrobiyota dinamikleri</w:t>
      </w:r>
    </w:p>
    <w:p>
      <w:pPr>
        <w:pStyle w:val="Heading3"/>
      </w:pPr>
      <w:r>
        <w:t>2.1. Disbiyoz paterni</w:t>
      </w:r>
    </w:p>
    <w:p>
      <w:pPr>
        <w:ind w:firstLine="709"/>
      </w:pPr>
      <w:r>
        <w:rPr>
          <w:rFonts w:ascii="Times New Roman" w:hAnsi="Times New Roman"/>
          <w:sz w:val="24"/>
        </w:rPr>
        <w:t>Sağlıklı erişkin bağırsak mikrobiyotası yüksek alfa çeşitlilik, zorunlu anaerob baskınlığı (Firmicutes/Bacteroidetes) ve metabolik işlev zenginliği ile karakterizedir. Allo-HSCT’de koşullandırma (kemoterapi/radyoterapi), mukozit, parenteral beslenme, diyet kısıtı ve geniş spektrumlu antibiyotikler bu ekosistemi hızla bozar</w:t>
      </w:r>
      <w:r>
        <w:rPr>
          <w:rFonts w:ascii="Times New Roman" w:hAnsi="Times New Roman"/>
          <w:sz w:val="20"/>
          <w:vertAlign w:val="superscript"/>
        </w:rPr>
        <w:t>[10]</w:t>
      </w:r>
      <w:r>
        <w:rPr>
          <w:rFonts w:ascii="Times New Roman" w:hAnsi="Times New Roman"/>
          <w:sz w:val="20"/>
          <w:vertAlign w:val="superscript"/>
        </w:rPr>
        <w:t>[15]</w:t>
      </w:r>
      <w:r>
        <w:rPr>
          <w:rFonts w:ascii="Times New Roman" w:hAnsi="Times New Roman"/>
          <w:sz w:val="20"/>
          <w:vertAlign w:val="superscript"/>
        </w:rPr>
        <w:t>[26]</w:t>
      </w:r>
      <w:r>
        <w:rPr>
          <w:rFonts w:ascii="Times New Roman" w:hAnsi="Times New Roman"/>
          <w:sz w:val="24"/>
        </w:rPr>
        <w:t>. Tipik tablo: Shannon/Simpson indeksinde düşüş; Clostridia ve Blautia gibi SCFA üreticilerinin kaybı; Enterococcus, Streptococcus veya proteobakterilerin dominasyonu</w:t>
      </w:r>
      <w:r>
        <w:rPr>
          <w:rFonts w:ascii="Times New Roman" w:hAnsi="Times New Roman"/>
          <w:sz w:val="20"/>
          <w:vertAlign w:val="superscript"/>
        </w:rPr>
        <w:t>[1]</w:t>
      </w:r>
      <w:r>
        <w:rPr>
          <w:rFonts w:ascii="Times New Roman" w:hAnsi="Times New Roman"/>
          <w:sz w:val="20"/>
          <w:vertAlign w:val="superscript"/>
        </w:rPr>
        <w:t>[2]</w:t>
      </w:r>
      <w:r>
        <w:rPr>
          <w:rFonts w:ascii="Times New Roman" w:hAnsi="Times New Roman"/>
          <w:sz w:val="20"/>
          <w:vertAlign w:val="superscript"/>
        </w:rPr>
        <w:t>[29]</w:t>
      </w:r>
      <w:r>
        <w:rPr>
          <w:rFonts w:ascii="Times New Roman" w:hAnsi="Times New Roman"/>
          <w:sz w:val="24"/>
        </w:rPr>
        <w:t>. Neutrofil engraftmanı döneminde ölçülen düşük çeşitlilik, bağımsız kohortlarda artmış mortalite ile ilişkilendirilmiştir</w:t>
      </w:r>
      <w:r>
        <w:rPr>
          <w:rFonts w:ascii="Times New Roman" w:hAnsi="Times New Roman"/>
          <w:sz w:val="20"/>
          <w:vertAlign w:val="superscript"/>
        </w:rPr>
        <w:t>[1]</w:t>
      </w:r>
      <w:r>
        <w:rPr>
          <w:rFonts w:ascii="Times New Roman" w:hAnsi="Times New Roman"/>
          <w:sz w:val="24"/>
        </w:rPr>
        <w:t>.</w:t>
      </w:r>
    </w:p>
    <w:p>
      <w:pPr>
        <w:ind w:firstLine="709"/>
      </w:pPr>
      <w:r>
        <w:rPr>
          <w:rFonts w:ascii="Times New Roman" w:hAnsi="Times New Roman"/>
          <w:sz w:val="24"/>
        </w:rPr>
        <w:t>Önemli bir bulgu, bozulmanın sıklıkla transplantasyon öncesinde başlamasıdır: yoğun tedavi öyküsü ve antibiyotik maruziyeti olan hastalarda pretransplant çeşitlilik zaten düşüktür ve kötü prognozla ilişkilidir</w:t>
      </w:r>
      <w:r>
        <w:rPr>
          <w:rFonts w:ascii="Times New Roman" w:hAnsi="Times New Roman"/>
          <w:sz w:val="20"/>
          <w:vertAlign w:val="superscript"/>
        </w:rPr>
        <w:t>[1]</w:t>
      </w:r>
      <w:r>
        <w:rPr>
          <w:rFonts w:ascii="Times New Roman" w:hAnsi="Times New Roman"/>
          <w:sz w:val="20"/>
          <w:vertAlign w:val="superscript"/>
        </w:rPr>
        <w:t>[27]</w:t>
      </w:r>
      <w:r>
        <w:rPr>
          <w:rFonts w:ascii="Times New Roman" w:hAnsi="Times New Roman"/>
          <w:sz w:val="24"/>
        </w:rPr>
        <w:t>. Bu nedenle mikrobiyota “risk penceresi” yalnızca nötropenik dönemle sınırlı değildir.</w:t>
      </w:r>
    </w:p>
    <w:p>
      <w:pPr>
        <w:pStyle w:val="Heading3"/>
      </w:pPr>
      <w:r>
        <w:t>2.2. Dominasyon ve bakteriyemi</w:t>
      </w:r>
    </w:p>
    <w:p>
      <w:pPr>
        <w:ind w:firstLine="709"/>
      </w:pPr>
      <w:r>
        <w:rPr>
          <w:rFonts w:ascii="Times New Roman" w:hAnsi="Times New Roman"/>
          <w:sz w:val="24"/>
        </w:rPr>
        <w:t>Taur ve arkadaşları, bağırsakta tek bir taksonun ≥%30 göreli bolluğunu “intestinal dominasyon” olarak tanımlamış; Enterococcus dominasyonunun vankomisine dirençli Enterococcus (VRE) bakteriyemisi riskini yaklaşık dokuz kat artırdığını göstermiştir</w:t>
      </w:r>
      <w:r>
        <w:rPr>
          <w:rFonts w:ascii="Times New Roman" w:hAnsi="Times New Roman"/>
          <w:sz w:val="20"/>
          <w:vertAlign w:val="superscript"/>
        </w:rPr>
        <w:t>[2]</w:t>
      </w:r>
      <w:r>
        <w:rPr>
          <w:rFonts w:ascii="Times New Roman" w:hAnsi="Times New Roman"/>
          <w:sz w:val="24"/>
        </w:rPr>
        <w:t>. Metronidazol maruziyeti enterokokkal dominasyonu artırırken, florokinolon profilaksisi proteobakteri dominasyonu ile ilişkilendirilmiştir. Bu bulgular, bakteriyeminin yalnızca dışarıdan “giren” bir patojen değil, baskın bağırsak florasının translokasyonu olabileceğini klinik olarak kanıtlamıştır</w:t>
      </w:r>
      <w:r>
        <w:rPr>
          <w:rFonts w:ascii="Times New Roman" w:hAnsi="Times New Roman"/>
          <w:sz w:val="20"/>
          <w:vertAlign w:val="superscript"/>
        </w:rPr>
        <w:t>[2]</w:t>
      </w:r>
      <w:r>
        <w:rPr>
          <w:rFonts w:ascii="Times New Roman" w:hAnsi="Times New Roman"/>
          <w:sz w:val="20"/>
          <w:vertAlign w:val="superscript"/>
        </w:rPr>
        <w:t>[26]</w:t>
      </w:r>
      <w:r>
        <w:rPr>
          <w:rFonts w:ascii="Times New Roman" w:hAnsi="Times New Roman"/>
          <w:sz w:val="24"/>
        </w:rPr>
        <w:t>.</w:t>
      </w:r>
    </w:p>
    <w:p>
      <w:pPr>
        <w:ind w:firstLine="709"/>
      </w:pPr>
      <w:r>
        <w:rPr>
          <w:rFonts w:ascii="Times New Roman" w:hAnsi="Times New Roman"/>
          <w:sz w:val="24"/>
        </w:rPr>
        <w:t>Dominasyon kavramı pratikte iki mesaj taşır. Birincisi, enfeksiyon kontrolü yalnızca izolasyon ve kateter bakımı değil, bağırsak ekolojisinin korunmasını da içerir. İkincisi, mikrobiom izlemi (araştırma veya seçilmiş klinik protokoller kapsamında) bakteriyemi riskini öngörmede yardımcı olabilir; ancak henüz evrensel bir “yatak başı” test standardı yoktur</w:t>
      </w:r>
      <w:r>
        <w:rPr>
          <w:rFonts w:ascii="Times New Roman" w:hAnsi="Times New Roman"/>
          <w:sz w:val="20"/>
          <w:vertAlign w:val="superscript"/>
        </w:rPr>
        <w:t>[10]</w:t>
      </w:r>
      <w:r>
        <w:rPr>
          <w:rFonts w:ascii="Times New Roman" w:hAnsi="Times New Roman"/>
          <w:sz w:val="20"/>
          <w:vertAlign w:val="superscript"/>
        </w:rPr>
        <w:t>[21]</w:t>
      </w:r>
      <w:r>
        <w:rPr>
          <w:rFonts w:ascii="Times New Roman" w:hAnsi="Times New Roman"/>
          <w:sz w:val="20"/>
          <w:vertAlign w:val="superscript"/>
        </w:rPr>
        <w:t>[26]</w:t>
      </w:r>
      <w:r>
        <w:rPr>
          <w:rFonts w:ascii="Times New Roman" w:hAnsi="Times New Roman"/>
          <w:sz w:val="24"/>
        </w:rPr>
        <w:t>. Çok merkezli kohortlarda dominasyon paternlerinin coğrafya ve antibiyotik politikalarından etkilenmesi, merkezler arası genellenebilirliği de sınırlar; bu nedenle yerel mikrobiyoloji ve stewardship verisiyle birlikte yorum edilmelidir</w:t>
      </w:r>
      <w:r>
        <w:rPr>
          <w:rFonts w:ascii="Times New Roman" w:hAnsi="Times New Roman"/>
          <w:sz w:val="20"/>
          <w:vertAlign w:val="superscript"/>
        </w:rPr>
        <w:t>[1]</w:t>
      </w:r>
      <w:r>
        <w:rPr>
          <w:rFonts w:ascii="Times New Roman" w:hAnsi="Times New Roman"/>
          <w:sz w:val="24"/>
        </w:rPr>
        <w:t>.</w:t>
      </w:r>
    </w:p>
    <w:p>
      <w:pPr>
        <w:pStyle w:val="Heading2"/>
      </w:pPr>
      <w:r>
        <w:t>3. Mikrobiyota–GVHD ekseni: mekanizmalar</w:t>
      </w:r>
    </w:p>
    <w:p>
      <w:pPr>
        <w:pStyle w:val="Heading3"/>
      </w:pPr>
      <w:r>
        <w:t>3.1. Koruyucu kommensaller ve SCFA’lar</w:t>
      </w:r>
    </w:p>
    <w:p>
      <w:pPr>
        <w:ind w:firstLine="709"/>
      </w:pPr>
      <w:r>
        <w:rPr>
          <w:rFonts w:ascii="Times New Roman" w:hAnsi="Times New Roman"/>
          <w:sz w:val="24"/>
        </w:rPr>
        <w:t>Jenq ve arkadaşları, transplant sonrası Blautia bolluğunun GVHD’ye bağlı ölüm riskinin azalması ve daha iyi genel sağkalım ile ilişkili olduğunu iki bağımsız kohortta göstermiştir; Blautia kaybı anaerob etkili antibiyotikler ve uzamış total parenteral nütrisyon ile koreledir</w:t>
      </w:r>
      <w:r>
        <w:rPr>
          <w:rFonts w:ascii="Times New Roman" w:hAnsi="Times New Roman"/>
          <w:sz w:val="20"/>
          <w:vertAlign w:val="superscript"/>
        </w:rPr>
        <w:t>[3]</w:t>
      </w:r>
      <w:r>
        <w:rPr>
          <w:rFonts w:ascii="Times New Roman" w:hAnsi="Times New Roman"/>
          <w:sz w:val="24"/>
        </w:rPr>
        <w:t>. Mathewson ve arkadaşları, allojenik kemik iliği transplantasyonu sonrası bağırsak epitelinde butiratın azaldığını; eksojen butirat veya butirat üreten Clostridia konsorsiyumunun histone asetilasyonunu, sıkı bağlantı bütünlüğünü iyileştirip apoptozu azaltarak GVHD’yi hafiflettiğini bildirmiştir</w:t>
      </w:r>
      <w:r>
        <w:rPr>
          <w:rFonts w:ascii="Times New Roman" w:hAnsi="Times New Roman"/>
          <w:sz w:val="20"/>
          <w:vertAlign w:val="superscript"/>
        </w:rPr>
        <w:t>[4]</w:t>
      </w:r>
      <w:r>
        <w:rPr>
          <w:rFonts w:ascii="Times New Roman" w:hAnsi="Times New Roman"/>
          <w:sz w:val="24"/>
        </w:rPr>
        <w:t>. Klinik örneklerde ağır gastrointestinal GVHD’te asetat, propiyonat ve butirat düzeylerinde dramatik düşüş gözlenmiştir</w:t>
      </w:r>
      <w:r>
        <w:rPr>
          <w:rFonts w:ascii="Times New Roman" w:hAnsi="Times New Roman"/>
          <w:sz w:val="20"/>
          <w:vertAlign w:val="superscript"/>
        </w:rPr>
        <w:t>[17]</w:t>
      </w:r>
      <w:r>
        <w:rPr>
          <w:rFonts w:ascii="Times New Roman" w:hAnsi="Times New Roman"/>
          <w:sz w:val="24"/>
        </w:rPr>
        <w:t>; kronik GVHD’den korunmayla da SCFA’lar ilişkilendirilmiştir</w:t>
      </w:r>
      <w:r>
        <w:rPr>
          <w:rFonts w:ascii="Times New Roman" w:hAnsi="Times New Roman"/>
          <w:sz w:val="20"/>
          <w:vertAlign w:val="superscript"/>
        </w:rPr>
        <w:t>[33]</w:t>
      </w:r>
      <w:r>
        <w:rPr>
          <w:rFonts w:ascii="Times New Roman" w:hAnsi="Times New Roman"/>
          <w:sz w:val="24"/>
        </w:rPr>
        <w:t>.</w:t>
      </w:r>
    </w:p>
    <w:p>
      <w:pPr>
        <w:pStyle w:val="Heading3"/>
      </w:pPr>
      <w:r>
        <w:t>3.2. Enterococcus, laktoz ve inflamasyon</w:t>
      </w:r>
    </w:p>
    <w:p>
      <w:pPr>
        <w:ind w:firstLine="709"/>
      </w:pPr>
      <w:r>
        <w:rPr>
          <w:rFonts w:ascii="Times New Roman" w:hAnsi="Times New Roman"/>
          <w:sz w:val="24"/>
        </w:rPr>
        <w:t>Stein-Thoeringer ve arkadaşları, allo-HCT sonrası Enterococcus genişlemesinin GVHD ve mortalite ile ilişkili olduğunu; Enterococcus büyümesinin laktoza bağımlı olduğunu ve farede laktozsuz diyetin hem Enterococcus baskınlığını hem GVHD şiddetini azalttığını göstermiştir</w:t>
      </w:r>
      <w:r>
        <w:rPr>
          <w:rFonts w:ascii="Times New Roman" w:hAnsi="Times New Roman"/>
          <w:sz w:val="20"/>
          <w:vertAlign w:val="superscript"/>
        </w:rPr>
        <w:t>[6]</w:t>
      </w:r>
      <w:r>
        <w:rPr>
          <w:rFonts w:ascii="Times New Roman" w:hAnsi="Times New Roman"/>
          <w:sz w:val="24"/>
        </w:rPr>
        <w:t>. Laktoz emilim bozukluğu genotipi taşıyan hastalarda antibiyotik sonrası Enterococcus temizlenmesinin zorlaşması, diyet–mikrobiyota–konak genetiği üçgeninin klinik yansımasıdır</w:t>
      </w:r>
      <w:r>
        <w:rPr>
          <w:rFonts w:ascii="Times New Roman" w:hAnsi="Times New Roman"/>
          <w:sz w:val="20"/>
          <w:vertAlign w:val="superscript"/>
        </w:rPr>
        <w:t>[6]</w:t>
      </w:r>
      <w:r>
        <w:rPr>
          <w:rFonts w:ascii="Times New Roman" w:hAnsi="Times New Roman"/>
          <w:sz w:val="24"/>
        </w:rPr>
        <w:t>.</w:t>
      </w:r>
    </w:p>
    <w:p>
      <w:pPr>
        <w:pStyle w:val="Heading3"/>
      </w:pPr>
      <w:r>
        <w:t>3.3. Mikrobiyota, MHC-II ve genetik uyumsuzluktan bağımsız GVHD</w:t>
      </w:r>
    </w:p>
    <w:p>
      <w:pPr>
        <w:ind w:firstLine="709"/>
      </w:pPr>
      <w:r>
        <w:rPr>
          <w:rFonts w:ascii="Times New Roman" w:hAnsi="Times New Roman"/>
          <w:sz w:val="24"/>
        </w:rPr>
        <w:t>2023’te yayımlanan Immunity çalışması, genetik olarak özdeş ama farklı vendor kaynaklı farelerde kommensal kompozisyon farkının ileum epitelinde MHC sınıf II ekspresyonunu ve CD4+ T hücre aracılı GVHD şiddetini belirlediğini göstermiştir</w:t>
      </w:r>
      <w:r>
        <w:rPr>
          <w:rFonts w:ascii="Times New Roman" w:hAnsi="Times New Roman"/>
          <w:sz w:val="20"/>
          <w:vertAlign w:val="superscript"/>
        </w:rPr>
        <w:t>[12]</w:t>
      </w:r>
      <w:r>
        <w:rPr>
          <w:rFonts w:ascii="Times New Roman" w:hAnsi="Times New Roman"/>
          <w:sz w:val="24"/>
        </w:rPr>
        <w:t>. MHC-II “indükleyici” ve “baskılayıcı” taksonlar tanımlanmış; insan kohortunda pretransplant dışkıda Clostridia bolluğu düşük grade GVHD, Bacilli/Enterococcus bolluğu ise artmış transplantasyona bağlı mortalite ile ilişkilendirilmiştir</w:t>
      </w:r>
      <w:r>
        <w:rPr>
          <w:rFonts w:ascii="Times New Roman" w:hAnsi="Times New Roman"/>
          <w:sz w:val="20"/>
          <w:vertAlign w:val="superscript"/>
        </w:rPr>
        <w:t>[12]</w:t>
      </w:r>
      <w:r>
        <w:rPr>
          <w:rFonts w:ascii="Times New Roman" w:hAnsi="Times New Roman"/>
          <w:sz w:val="24"/>
        </w:rPr>
        <w:t>. Bu bulgular, GVHD’nin yalnızca HLA uyumsuzluğunun kaçınılmaz sonucu olmadığını; mikrobiyal “eşik”in immünopatolojiyi tetikleyebileceğini vurgular.</w:t>
      </w:r>
    </w:p>
    <w:p>
      <w:pPr>
        <w:pStyle w:val="Heading2"/>
      </w:pPr>
      <w:r>
        <w:t>4. Klinik sonuçlarla ilişki</w:t>
      </w:r>
    </w:p>
    <w:p>
      <w:pPr>
        <w:ind w:firstLine="709"/>
      </w:pPr>
      <w:r>
        <w:rPr>
          <w:rFonts w:ascii="Times New Roman" w:hAnsi="Times New Roman"/>
          <w:sz w:val="24"/>
        </w:rPr>
        <w:t>Peled ve arkadaşlarının dört merkezli, 1362 hastayı ve 8767 dışkı örneğini kapsayan NEJM çalışması alanın dönüm noktasıdır: engraftman döneminde yüksek bağırsak çeşitliliği bağımsız kohortlarda daha düşük ölüm riski ile ilişkilidir (düzeltilmiş HR ≈ 0,49–0,71); düşük çeşitlilik transplantasyona bağlı ve GVHD’ye bağlı ölüm riskini artırır</w:t>
      </w:r>
      <w:r>
        <w:rPr>
          <w:rFonts w:ascii="Times New Roman" w:hAnsi="Times New Roman"/>
          <w:sz w:val="20"/>
          <w:vertAlign w:val="superscript"/>
        </w:rPr>
        <w:t>[1]</w:t>
      </w:r>
      <w:r>
        <w:rPr>
          <w:rFonts w:ascii="Times New Roman" w:hAnsi="Times New Roman"/>
          <w:sz w:val="24"/>
        </w:rPr>
        <w:t>. Çalışma aynı zamanda disbiyoz paterninin New York, Almanya, Japonya ve Kuzey Carolina merkezlerinde benzer olduğunu göstererek bulguların coğrafi genelgeçerliğini güçlendirmiştir</w:t>
      </w:r>
      <w:r>
        <w:rPr>
          <w:rFonts w:ascii="Times New Roman" w:hAnsi="Times New Roman"/>
          <w:sz w:val="20"/>
          <w:vertAlign w:val="superscript"/>
        </w:rPr>
        <w:t>[1]</w:t>
      </w:r>
      <w:r>
        <w:rPr>
          <w:rFonts w:ascii="Times New Roman" w:hAnsi="Times New Roman"/>
          <w:sz w:val="24"/>
        </w:rPr>
        <w:t>.</w:t>
      </w:r>
    </w:p>
    <w:p>
      <w:pPr>
        <w:ind w:firstLine="709"/>
      </w:pPr>
      <w:r>
        <w:rPr>
          <w:rFonts w:ascii="Times New Roman" w:hAnsi="Times New Roman"/>
          <w:sz w:val="24"/>
        </w:rPr>
        <w:t>2023 meta-analizi (17 çalışma) bu ilişkiyi pekiştirmiştir: yüksek çeşitlilik genel sağkalım yararı (HR 0,66), daha düşük TRM (HR 0,56) ve daha az grade II–IV aGVHD (HR 0,41) ile birliktedir; Clostridiales bolluğu olumlu, Enterococcus, γ-proteobacteria ve Candida bolluğu olumsuz prognostik faktördür</w:t>
      </w:r>
      <w:r>
        <w:rPr>
          <w:rFonts w:ascii="Times New Roman" w:hAnsi="Times New Roman"/>
          <w:sz w:val="20"/>
          <w:vertAlign w:val="superscript"/>
        </w:rPr>
        <w:t>[11]</w:t>
      </w:r>
      <w:r>
        <w:rPr>
          <w:rFonts w:ascii="Times New Roman" w:hAnsi="Times New Roman"/>
          <w:sz w:val="24"/>
        </w:rPr>
        <w:t>. Pretransplant dönemde korunmuş çeşitlilik veya mikrobiyota “korunumu” da daha düşük aGVHD ve daha iyi sağkalımla ilişkilendirilmiştir</w:t>
      </w:r>
      <w:r>
        <w:rPr>
          <w:rFonts w:ascii="Times New Roman" w:hAnsi="Times New Roman"/>
          <w:sz w:val="20"/>
          <w:vertAlign w:val="superscript"/>
        </w:rPr>
        <w:t>[27]</w:t>
      </w:r>
      <w:r>
        <w:rPr>
          <w:rFonts w:ascii="Times New Roman" w:hAnsi="Times New Roman"/>
          <w:sz w:val="24"/>
        </w:rPr>
        <w:t>. Bu bulgular, müdahalelerin yalnızca engraftman sonrasına değil, koşullandırma öncesine de odaklanabileceğini düşündürür.</w:t>
      </w:r>
    </w:p>
    <w:p>
      <w:pPr>
        <w:ind w:firstLine="709"/>
      </w:pPr>
      <w:r>
        <w:rPr>
          <w:rFonts w:ascii="Times New Roman" w:hAnsi="Times New Roman"/>
          <w:sz w:val="24"/>
        </w:rPr>
        <w:t>Nötrofil iyileşmesi döneminde dışkı mikrobiyotası ağır aGVHD’yi öngörebilir</w:t>
      </w:r>
      <w:r>
        <w:rPr>
          <w:rFonts w:ascii="Times New Roman" w:hAnsi="Times New Roman"/>
          <w:sz w:val="20"/>
          <w:vertAlign w:val="superscript"/>
        </w:rPr>
        <w:t>[32]</w:t>
      </w:r>
      <w:r>
        <w:rPr>
          <w:rFonts w:ascii="Times New Roman" w:hAnsi="Times New Roman"/>
          <w:sz w:val="24"/>
        </w:rPr>
        <w:t>; üriner 3-indoksil sülfat gibi metabolitler erken dönemde bozulmuş mikrobiyotayı ve kötü sonucu yansıtır</w:t>
      </w:r>
      <w:r>
        <w:rPr>
          <w:rFonts w:ascii="Times New Roman" w:hAnsi="Times New Roman"/>
          <w:sz w:val="20"/>
          <w:vertAlign w:val="superscript"/>
        </w:rPr>
        <w:t>[30]</w:t>
      </w:r>
      <w:r>
        <w:rPr>
          <w:rFonts w:ascii="Times New Roman" w:hAnsi="Times New Roman"/>
          <w:sz w:val="24"/>
        </w:rPr>
        <w:t>. Holler ve arkadaşlarının metagenomik analizi, sistemik antibiyotik kullanımının çeşitlilik kaybıyla ve GI-GVHD’de daha belirgin bozulmayla gittiğini klasik biçimde göstermiştir</w:t>
      </w:r>
      <w:r>
        <w:rPr>
          <w:rFonts w:ascii="Times New Roman" w:hAnsi="Times New Roman"/>
          <w:sz w:val="20"/>
          <w:vertAlign w:val="superscript"/>
        </w:rPr>
        <w:t>[29]</w:t>
      </w:r>
      <w:r>
        <w:rPr>
          <w:rFonts w:ascii="Times New Roman" w:hAnsi="Times New Roman"/>
          <w:sz w:val="24"/>
        </w:rPr>
        <w:t>. Relaps ile mikrobiyota ilişkisi daha karmaşıktır ve graft-versus-tümör etkisinin korunması ile GVHD’nin önlenmesi arasındaki dengeyi içerir; bu konuda kanıt düzeyi GVHD/enfeksiyon kadar sağlam değildir</w:t>
      </w:r>
      <w:r>
        <w:rPr>
          <w:rFonts w:ascii="Times New Roman" w:hAnsi="Times New Roman"/>
          <w:sz w:val="20"/>
          <w:vertAlign w:val="superscript"/>
        </w:rPr>
        <w:t>[15]</w:t>
      </w:r>
      <w:r>
        <w:rPr>
          <w:rFonts w:ascii="Times New Roman" w:hAnsi="Times New Roman"/>
          <w:sz w:val="20"/>
          <w:vertAlign w:val="superscript"/>
        </w:rPr>
        <w:t>[20]</w:t>
      </w:r>
      <w:r>
        <w:rPr>
          <w:rFonts w:ascii="Times New Roman" w:hAnsi="Times New Roman"/>
          <w:sz w:val="20"/>
          <w:vertAlign w:val="superscript"/>
        </w:rPr>
        <w:t>[28]</w:t>
      </w:r>
      <w:r>
        <w:rPr>
          <w:rFonts w:ascii="Times New Roman" w:hAnsi="Times New Roman"/>
          <w:sz w:val="24"/>
        </w:rPr>
        <w:t>. Bu nedenle mikrobiyota manipülasyonunda “aşırı baskılama” kaygısı teorik olarak akılda tutulmalıdır.</w:t>
      </w:r>
    </w:p>
    <w:p>
      <w:pPr>
        <w:pStyle w:val="Heading2"/>
      </w:pPr>
      <w:r>
        <w:t>5. Antibiyotikler: gerekli kötülük mü, değiştirilebilir risk mi?</w:t>
      </w:r>
    </w:p>
    <w:p>
      <w:pPr>
        <w:ind w:firstLine="709"/>
      </w:pPr>
      <w:r>
        <w:rPr>
          <w:rFonts w:ascii="Times New Roman" w:hAnsi="Times New Roman"/>
          <w:sz w:val="24"/>
        </w:rPr>
        <w:t>Nötropenik ateş tedavisi yaşam kurtarıcıdır; ancak antibiyotik seçimi mikrobiyota kollateral hasarını belirler. Shono ve arkadaşları, imipenem-silastatin ve piperasilin-tazobaktam kullanımının artmış GVHD’ye bağlı mortalite ile ilişkili olduğunu; aztreonam ve sefepimin aynı ilişkiyi göstermediğini insan ve fare verisiyle ortaya koymuştur</w:t>
      </w:r>
      <w:r>
        <w:rPr>
          <w:rFonts w:ascii="Times New Roman" w:hAnsi="Times New Roman"/>
          <w:sz w:val="20"/>
          <w:vertAlign w:val="superscript"/>
        </w:rPr>
        <w:t>[5]</w:t>
      </w:r>
      <w:r>
        <w:rPr>
          <w:rFonts w:ascii="Times New Roman" w:hAnsi="Times New Roman"/>
          <w:sz w:val="24"/>
        </w:rPr>
        <w:t>. Anaerob spektrumlu ajanlar çeşitliliği düşürür, Bifidobacteriales/Clostridiales ve butirat biyosentez genlerini azaltır; akut bağırsak/karaciğer GVHD ve GVHD mortalitesi riskini artırır</w:t>
      </w:r>
      <w:r>
        <w:rPr>
          <w:rFonts w:ascii="Times New Roman" w:hAnsi="Times New Roman"/>
          <w:sz w:val="20"/>
          <w:vertAlign w:val="superscript"/>
        </w:rPr>
        <w:t>[16]</w:t>
      </w:r>
      <w:r>
        <w:rPr>
          <w:rFonts w:ascii="Times New Roman" w:hAnsi="Times New Roman"/>
          <w:sz w:val="24"/>
        </w:rPr>
        <w:t>.</w:t>
      </w:r>
    </w:p>
    <w:p>
      <w:pPr>
        <w:ind w:firstLine="709"/>
      </w:pPr>
      <w:r>
        <w:rPr>
          <w:rFonts w:ascii="Times New Roman" w:hAnsi="Times New Roman"/>
          <w:sz w:val="24"/>
        </w:rPr>
        <w:t>Stewardship uygulamaları umut vericidir. Regensburg kohortunda ATG ilişkili erken ateşte kısıtlayıcı antibiyotik stratejisi, enfeksiyon artışı olmadan antibiyotik süresini kısaltmış ve mikrobiyota çeşitliliğini korumuştur</w:t>
      </w:r>
      <w:r>
        <w:rPr>
          <w:rFonts w:ascii="Times New Roman" w:hAnsi="Times New Roman"/>
          <w:sz w:val="20"/>
          <w:vertAlign w:val="superscript"/>
        </w:rPr>
        <w:t>[19]</w:t>
      </w:r>
      <w:r>
        <w:rPr>
          <w:rFonts w:ascii="Times New Roman" w:hAnsi="Times New Roman"/>
          <w:sz w:val="24"/>
        </w:rPr>
        <w:t>. Pediatrik merkezlerde bireyselleştirilmiş antibiyotik planları karbapenem kullanımını azaltabilmektedir. Pratik mesaj: anaerob etkili geniş spektrum, anaerob veya çoklu dirençli enfeksiyon şüphesi yoksa ilk seçenek olmamalıdır</w:t>
      </w:r>
      <w:r>
        <w:rPr>
          <w:rFonts w:ascii="Times New Roman" w:hAnsi="Times New Roman"/>
          <w:sz w:val="20"/>
          <w:vertAlign w:val="superscript"/>
        </w:rPr>
        <w:t>[5]</w:t>
      </w:r>
      <w:r>
        <w:rPr>
          <w:rFonts w:ascii="Times New Roman" w:hAnsi="Times New Roman"/>
          <w:sz w:val="20"/>
          <w:vertAlign w:val="superscript"/>
        </w:rPr>
        <w:t>[16]</w:t>
      </w:r>
      <w:r>
        <w:rPr>
          <w:rFonts w:ascii="Times New Roman" w:hAnsi="Times New Roman"/>
          <w:sz w:val="20"/>
          <w:vertAlign w:val="superscript"/>
        </w:rPr>
        <w:t>[19]</w:t>
      </w:r>
      <w:r>
        <w:rPr>
          <w:rFonts w:ascii="Times New Roman" w:hAnsi="Times New Roman"/>
          <w:sz w:val="24"/>
        </w:rPr>
        <w:t>.</w:t>
      </w:r>
    </w:p>
    <w:p>
      <w:pPr>
        <w:pStyle w:val="Heading2"/>
      </w:pPr>
      <w:r>
        <w:t>6. Terapötik müdahaleler</w:t>
      </w:r>
    </w:p>
    <w:p>
      <w:pPr>
        <w:pStyle w:val="Heading3"/>
      </w:pPr>
      <w:r>
        <w:t>6.1. Diyet, prebiyotik ve lif</w:t>
      </w:r>
    </w:p>
    <w:p>
      <w:pPr>
        <w:ind w:firstLine="709"/>
      </w:pPr>
      <w:r>
        <w:rPr>
          <w:rFonts w:ascii="Times New Roman" w:hAnsi="Times New Roman"/>
          <w:sz w:val="24"/>
        </w:rPr>
        <w:t>Dirençli nişasta ve GFO (glutamin–lif–oligosakkarit) karışımının koşullandırmadan +28. güne kadar verildiği prospektif çalışmada mukozal hasar azalmış, aGVHD (tüm grade ve grade 2–4) insidansı düşmüş, çeşitlilik ve butirat üreticileri daha iyi korunmuştur</w:t>
      </w:r>
      <w:r>
        <w:rPr>
          <w:rFonts w:ascii="Times New Roman" w:hAnsi="Times New Roman"/>
          <w:sz w:val="20"/>
          <w:vertAlign w:val="superscript"/>
        </w:rPr>
        <w:t>[18]</w:t>
      </w:r>
      <w:r>
        <w:rPr>
          <w:rFonts w:ascii="Times New Roman" w:hAnsi="Times New Roman"/>
          <w:sz w:val="24"/>
        </w:rPr>
        <w:t>. 2025 sistematik derlemesi, kanser ve HSCT’de lif/prebiyotik müdahalelerinin potansiyel yararını desteklemekle birlikte rutin standart haline gelmeleri için daha güçlü randomize veriye ihtiyaç olduğunu vurgular</w:t>
      </w:r>
      <w:r>
        <w:rPr>
          <w:rFonts w:ascii="Times New Roman" w:hAnsi="Times New Roman"/>
          <w:sz w:val="20"/>
          <w:vertAlign w:val="superscript"/>
        </w:rPr>
        <w:t>[23]</w:t>
      </w:r>
      <w:r>
        <w:rPr>
          <w:rFonts w:ascii="Times New Roman" w:hAnsi="Times New Roman"/>
          <w:sz w:val="24"/>
        </w:rPr>
        <w:t>. Laktozsuz veya laktoz kısıtlı yaklaşımlar Enterococcus ekspansiyonunu hedefleyen mekanistik temele dayanır; klinik protokoller henüz standartlaşmamıştır</w:t>
      </w:r>
      <w:r>
        <w:rPr>
          <w:rFonts w:ascii="Times New Roman" w:hAnsi="Times New Roman"/>
          <w:sz w:val="20"/>
          <w:vertAlign w:val="superscript"/>
        </w:rPr>
        <w:t>[6]</w:t>
      </w:r>
      <w:r>
        <w:rPr>
          <w:rFonts w:ascii="Times New Roman" w:hAnsi="Times New Roman"/>
          <w:sz w:val="24"/>
        </w:rPr>
        <w:t>.</w:t>
      </w:r>
    </w:p>
    <w:p>
      <w:pPr>
        <w:pStyle w:val="Heading3"/>
      </w:pPr>
      <w:r>
        <w:t>6.2. Fekal mikrobiyota transplantasyonu (FMT)</w:t>
      </w:r>
    </w:p>
    <w:p>
      <w:pPr>
        <w:ind w:firstLine="709"/>
      </w:pPr>
      <w:r>
        <w:rPr>
          <w:rFonts w:ascii="Times New Roman" w:hAnsi="Times New Roman"/>
          <w:sz w:val="24"/>
        </w:rPr>
        <w:t>Oto-FMT: Taur ve arkadaşlarının randomize çalışmasında, transplant öncesi bankalanmış otolog dışkının engraftman sonrası verilmesi çeşitliliği ve preantibiotik kompozisyonu yeniden kurmuştur</w:t>
      </w:r>
      <w:r>
        <w:rPr>
          <w:rFonts w:ascii="Times New Roman" w:hAnsi="Times New Roman"/>
          <w:sz w:val="20"/>
          <w:vertAlign w:val="superscript"/>
        </w:rPr>
        <w:t>[7]</w:t>
      </w:r>
      <w:r>
        <w:rPr>
          <w:rFonts w:ascii="Times New Roman" w:hAnsi="Times New Roman"/>
          <w:sz w:val="24"/>
        </w:rPr>
        <w:t>. Üçüncü taraf (allojenik) FMT de çeşitliliği restore edebilir</w:t>
      </w:r>
      <w:r>
        <w:rPr>
          <w:rFonts w:ascii="Times New Roman" w:hAnsi="Times New Roman"/>
          <w:sz w:val="20"/>
          <w:vertAlign w:val="superscript"/>
        </w:rPr>
        <w:t>[35]</w:t>
      </w:r>
      <w:r>
        <w:rPr>
          <w:rFonts w:ascii="Times New Roman" w:hAnsi="Times New Roman"/>
          <w:sz w:val="24"/>
        </w:rPr>
        <w:t>.</w:t>
      </w:r>
    </w:p>
    <w:p>
      <w:pPr>
        <w:ind w:firstLine="709"/>
      </w:pPr>
      <w:r>
        <w:rPr>
          <w:rFonts w:ascii="Times New Roman" w:hAnsi="Times New Roman"/>
          <w:sz w:val="24"/>
        </w:rPr>
        <w:t>Steroid dirençli GI-aGVHD: Erken pilotlar klinik yanıt ve mikrobiyota restorasyonu bildirmiştir</w:t>
      </w:r>
      <w:r>
        <w:rPr>
          <w:rFonts w:ascii="Times New Roman" w:hAnsi="Times New Roman"/>
          <w:sz w:val="20"/>
          <w:vertAlign w:val="superscript"/>
        </w:rPr>
        <w:t>[36]</w:t>
      </w:r>
      <w:r>
        <w:rPr>
          <w:rFonts w:ascii="Times New Roman" w:hAnsi="Times New Roman"/>
          <w:sz w:val="20"/>
          <w:vertAlign w:val="superscript"/>
        </w:rPr>
        <w:t>[37]</w:t>
      </w:r>
      <w:r>
        <w:rPr>
          <w:rFonts w:ascii="Times New Roman" w:hAnsi="Times New Roman"/>
          <w:sz w:val="24"/>
        </w:rPr>
        <w:t>. HERACLES faz 2a çalışmasında havuzlanmış ürün MaaT013 ile gün 28 GI yanıt oranı %38 (genişletilmiş erişim programında %58); yanıtlayanlarda zenginlik, butirat üreticileri ve SCFA/safra asidi artışı izlenmiştir</w:t>
      </w:r>
      <w:r>
        <w:rPr>
          <w:rFonts w:ascii="Times New Roman" w:hAnsi="Times New Roman"/>
          <w:sz w:val="20"/>
          <w:vertAlign w:val="superscript"/>
        </w:rPr>
        <w:t>[13]</w:t>
      </w:r>
      <w:r>
        <w:rPr>
          <w:rFonts w:ascii="Times New Roman" w:hAnsi="Times New Roman"/>
          <w:sz w:val="24"/>
        </w:rPr>
        <w:t>. 2024 kapsül-FMT pilotunda steroid dirençli/bağımlı alt GI-aGVHD’de gün 28 genel yanıt %52,4 olup sürdürülebilir yanıt sınırlı kalmıştır</w:t>
      </w:r>
      <w:r>
        <w:rPr>
          <w:rFonts w:ascii="Times New Roman" w:hAnsi="Times New Roman"/>
          <w:sz w:val="20"/>
          <w:vertAlign w:val="superscript"/>
        </w:rPr>
        <w:t>[22]</w:t>
      </w:r>
      <w:r>
        <w:rPr>
          <w:rFonts w:ascii="Times New Roman" w:hAnsi="Times New Roman"/>
          <w:sz w:val="24"/>
        </w:rPr>
        <w:t>. Refrakter kronik GVHD’de 2025 açık etiketli pilotta 12 hastanın 6’sında yanıt (1 CR, 5 PR), SCFA ve Treg artışı bildirilmiştir</w:t>
      </w:r>
      <w:r>
        <w:rPr>
          <w:rFonts w:ascii="Times New Roman" w:hAnsi="Times New Roman"/>
          <w:sz w:val="20"/>
          <w:vertAlign w:val="superscript"/>
        </w:rPr>
        <w:t>[24]</w:t>
      </w:r>
      <w:r>
        <w:rPr>
          <w:rFonts w:ascii="Times New Roman" w:hAnsi="Times New Roman"/>
          <w:sz w:val="24"/>
        </w:rPr>
        <w:t>.</w:t>
      </w:r>
    </w:p>
    <w:p>
      <w:pPr>
        <w:ind w:firstLine="709"/>
      </w:pPr>
      <w:r>
        <w:rPr>
          <w:rFonts w:ascii="Times New Roman" w:hAnsi="Times New Roman"/>
          <w:sz w:val="24"/>
        </w:rPr>
        <w:t>Enfeksiyon primer sonlanımı: Rashidi ve arkadaşlarının çift kör faz II çalışmasında allo-HCT ve AML kohortlarında oral kapsül FMT disbiyozu iyileştirmiş ancak 4 aylık enfeksiyon yoğunluğunu anlamlı azaltmamıştır; güvenlik profili olumludur</w:t>
      </w:r>
      <w:r>
        <w:rPr>
          <w:rFonts w:ascii="Times New Roman" w:hAnsi="Times New Roman"/>
          <w:sz w:val="20"/>
          <w:vertAlign w:val="superscript"/>
        </w:rPr>
        <w:t>[14]</w:t>
      </w:r>
      <w:r>
        <w:rPr>
          <w:rFonts w:ascii="Times New Roman" w:hAnsi="Times New Roman"/>
          <w:sz w:val="24"/>
        </w:rPr>
        <w:t>. Bu ayrım kritiktir: mikrobiyota “düzelmesi” her zaman klinik sonlanım yararına çevrilmeyebilir; endikasyon, zamanlama ve ürün standardizasyonu belirleyicidir</w:t>
      </w:r>
      <w:r>
        <w:rPr>
          <w:rFonts w:ascii="Times New Roman" w:hAnsi="Times New Roman"/>
          <w:sz w:val="20"/>
          <w:vertAlign w:val="superscript"/>
        </w:rPr>
        <w:t>[14]</w:t>
      </w:r>
      <w:r>
        <w:rPr>
          <w:rFonts w:ascii="Times New Roman" w:hAnsi="Times New Roman"/>
          <w:sz w:val="20"/>
          <w:vertAlign w:val="superscript"/>
        </w:rPr>
        <w:t>[21]</w:t>
      </w:r>
      <w:r>
        <w:rPr>
          <w:rFonts w:ascii="Times New Roman" w:hAnsi="Times New Roman"/>
          <w:sz w:val="24"/>
        </w:rPr>
        <w:t>.</w:t>
      </w:r>
    </w:p>
    <w:p>
      <w:pPr>
        <w:pStyle w:val="Heading3"/>
      </w:pPr>
      <w:r>
        <w:t>6.3. Probiyotikler ve diğer yaklaşımlar</w:t>
      </w:r>
    </w:p>
    <w:p>
      <w:pPr>
        <w:ind w:firstLine="709"/>
      </w:pPr>
      <w:r>
        <w:rPr>
          <w:rFonts w:ascii="Times New Roman" w:hAnsi="Times New Roman"/>
          <w:sz w:val="24"/>
        </w:rPr>
        <w:t>Canlı probiyotikler derin immünosupresyonda bakteriyemi riski nedeniyle temkinle ele alınır; kanıt düzeyi FMT ve prebiyotiklere göre daha zayıftır</w:t>
      </w:r>
      <w:r>
        <w:rPr>
          <w:rFonts w:ascii="Times New Roman" w:hAnsi="Times New Roman"/>
          <w:sz w:val="20"/>
          <w:vertAlign w:val="superscript"/>
        </w:rPr>
        <w:t>[10]</w:t>
      </w:r>
      <w:r>
        <w:rPr>
          <w:rFonts w:ascii="Times New Roman" w:hAnsi="Times New Roman"/>
          <w:sz w:val="20"/>
          <w:vertAlign w:val="superscript"/>
        </w:rPr>
        <w:t>[21]</w:t>
      </w:r>
      <w:r>
        <w:rPr>
          <w:rFonts w:ascii="Times New Roman" w:hAnsi="Times New Roman"/>
          <w:sz w:val="24"/>
        </w:rPr>
        <w:t>. Antibiyotiğe dirençli kolonizasyonun azaltılması için FMT’nin potansiyeli ayrı bir klinik ilgi alanıdır</w:t>
      </w:r>
      <w:r>
        <w:rPr>
          <w:rFonts w:ascii="Times New Roman" w:hAnsi="Times New Roman"/>
          <w:sz w:val="20"/>
          <w:vertAlign w:val="superscript"/>
        </w:rPr>
        <w:t>[38]</w:t>
      </w:r>
      <w:r>
        <w:rPr>
          <w:rFonts w:ascii="Times New Roman" w:hAnsi="Times New Roman"/>
          <w:sz w:val="24"/>
        </w:rPr>
        <w:t>. Seçilmiş Clostridia konsorsiyumları, SCFA takviyesi ve mikrobiom-temelli tanımlı ürünler pipeline’dadır</w:t>
      </w:r>
      <w:r>
        <w:rPr>
          <w:rFonts w:ascii="Times New Roman" w:hAnsi="Times New Roman"/>
          <w:sz w:val="20"/>
          <w:vertAlign w:val="superscript"/>
        </w:rPr>
        <w:t>[4]</w:t>
      </w:r>
      <w:r>
        <w:rPr>
          <w:rFonts w:ascii="Times New Roman" w:hAnsi="Times New Roman"/>
          <w:sz w:val="20"/>
          <w:vertAlign w:val="superscript"/>
        </w:rPr>
        <w:t>[21]</w:t>
      </w:r>
      <w:r>
        <w:rPr>
          <w:rFonts w:ascii="Times New Roman" w:hAnsi="Times New Roman"/>
          <w:sz w:val="24"/>
        </w:rPr>
        <w:t>. Üçüncü taraf FMT’nin engraftman sonrası çeşitliliği yeniden kurduğu erken çalışmalar, ürün lojistiği ve güvenlik çerçevesinin önemini de göstermiştir</w:t>
      </w:r>
      <w:r>
        <w:rPr>
          <w:rFonts w:ascii="Times New Roman" w:hAnsi="Times New Roman"/>
          <w:sz w:val="20"/>
          <w:vertAlign w:val="superscript"/>
        </w:rPr>
        <w:t>[35]</w:t>
      </w:r>
      <w:r>
        <w:rPr>
          <w:rFonts w:ascii="Times New Roman" w:hAnsi="Times New Roman"/>
          <w:sz w:val="24"/>
        </w:rPr>
        <w:t>.</w:t>
      </w:r>
    </w:p>
    <w:p>
      <w:pPr>
        <w:ind w:firstLine="709"/>
      </w:pPr>
      <w:r>
        <w:rPr>
          <w:rFonts w:ascii="Times New Roman" w:hAnsi="Times New Roman"/>
          <w:sz w:val="24"/>
        </w:rPr>
        <w:t>Güvenlik açısından FMT sonrası bakteriyemi/sepsis bildirimleri immünosuprese kohortta farmakovijilansın zorunlu olduğunu hatırlatır; HERACLES ve genişletilmiş erişim deneyiminde enfeksiyöz olaylar dikkatle raporlanmış, ürün kaynaklı suş bağlantısı çoğu olguda gösterilememiştir</w:t>
      </w:r>
      <w:r>
        <w:rPr>
          <w:rFonts w:ascii="Times New Roman" w:hAnsi="Times New Roman"/>
          <w:sz w:val="20"/>
          <w:vertAlign w:val="superscript"/>
        </w:rPr>
        <w:t>[13]</w:t>
      </w:r>
      <w:r>
        <w:rPr>
          <w:rFonts w:ascii="Times New Roman" w:hAnsi="Times New Roman"/>
          <w:sz w:val="24"/>
        </w:rPr>
        <w:t>. Donör taraması (çoklu patojen PCR, MDR tarama, metabolik/viral paneller), ürün izlenebilirliği ve seri üretim standardı, “komşu donör dışkısı” yaklaşımından uzaklaşmanın gerekçesidir</w:t>
      </w:r>
      <w:r>
        <w:rPr>
          <w:rFonts w:ascii="Times New Roman" w:hAnsi="Times New Roman"/>
          <w:sz w:val="20"/>
          <w:vertAlign w:val="superscript"/>
        </w:rPr>
        <w:t>[13]</w:t>
      </w:r>
      <w:r>
        <w:rPr>
          <w:rFonts w:ascii="Times New Roman" w:hAnsi="Times New Roman"/>
          <w:sz w:val="20"/>
          <w:vertAlign w:val="superscript"/>
        </w:rPr>
        <w:t>[21]</w:t>
      </w:r>
      <w:r>
        <w:rPr>
          <w:rFonts w:ascii="Times New Roman" w:hAnsi="Times New Roman"/>
          <w:sz w:val="24"/>
        </w:rPr>
        <w:t>.</w:t>
      </w:r>
    </w:p>
    <w:p>
      <w:pPr>
        <w:pStyle w:val="Heading2"/>
      </w:pPr>
      <w:r>
        <w:t>7. Klinik pratik için sentez</w:t>
      </w:r>
    </w:p>
    <w:p>
      <w:pPr>
        <w:ind w:firstLine="709"/>
      </w:pPr>
      <w:r>
        <w:rPr>
          <w:rFonts w:ascii="Times New Roman" w:hAnsi="Times New Roman"/>
          <w:b w:val="0"/>
          <w:sz w:val="24"/>
        </w:rPr>
        <w:t>Allo-HSCT ünitesinde mikrobiyota biliminin pratik yansımaları şu başlıklarda toplanabilir:</w:t>
      </w:r>
    </w:p>
    <w:p>
      <w:pPr>
        <w:pStyle w:val="ListBullet"/>
        <w:ind w:firstLine="0"/>
      </w:pPr>
      <w:r>
        <w:rPr>
          <w:rFonts w:ascii="Times New Roman" w:hAnsi="Times New Roman"/>
          <w:sz w:val="24"/>
        </w:rPr>
        <w:t>Risk farkındalığı: Pre- ve post-transplant düşük çeşitlilik, Enterococcus/proteobakteri dominasyonu ve SCFA kaybı kötü prognoz işaretleridir; mümkünse longitudinal dışkı bankacılığı araştırma ve ileride risk sınıflaması için değerlidir.</w:t>
      </w:r>
    </w:p>
    <w:p>
      <w:pPr>
        <w:pStyle w:val="ListBullet"/>
        <w:ind w:firstLine="0"/>
      </w:pPr>
      <w:r>
        <w:rPr>
          <w:rFonts w:ascii="Times New Roman" w:hAnsi="Times New Roman"/>
          <w:sz w:val="24"/>
        </w:rPr>
        <w:t>Antibiyotik yönetimi: Anaerob spektrumlu ajanları (piperasilin-tazobaktam, karbapenemler) gerçek anaerob/MDR şüphesinde saklayın; ateşte kısıtlayıcı ve hızlı de-eskalasyon stratejileri çeşitliliği koruyabilir.</w:t>
      </w:r>
    </w:p>
    <w:p>
      <w:pPr>
        <w:pStyle w:val="ListBullet"/>
        <w:ind w:firstLine="0"/>
      </w:pPr>
      <w:r>
        <w:rPr>
          <w:rFonts w:ascii="Times New Roman" w:hAnsi="Times New Roman"/>
          <w:sz w:val="24"/>
        </w:rPr>
        <w:t>Beslenme: Erken oral alımı destekleyin; TPN süresini kısaltın; merkez protokolüne uygun prebiyotik/lif çalışmalarına katılımı değerlendirin; laktoz kısıtı seçilmiş hastalarda araştırılabilir.</w:t>
      </w:r>
    </w:p>
    <w:p>
      <w:pPr>
        <w:pStyle w:val="ListBullet"/>
        <w:ind w:firstLine="0"/>
      </w:pPr>
      <w:r>
        <w:rPr>
          <w:rFonts w:ascii="Times New Roman" w:hAnsi="Times New Roman"/>
          <w:sz w:val="24"/>
        </w:rPr>
        <w:t>FMT: Steroid dirençli GI-aGVHD’de klinik araştırma veya onaylı/standart ürün çerçevesinde düşünülmeli; donör tarama, ürün izlenebilirliği ve enfeksiyon farmakovijilansı zorunludur. Profilaktik FMT’nin enfeksiyon azaltma yararı henüz kanıtlanmamıştır.</w:t>
      </w:r>
    </w:p>
    <w:p>
      <w:pPr>
        <w:pStyle w:val="ListBullet"/>
        <w:ind w:firstLine="0"/>
      </w:pPr>
      <w:r>
        <w:rPr>
          <w:rFonts w:ascii="Times New Roman" w:hAnsi="Times New Roman"/>
          <w:sz w:val="24"/>
        </w:rPr>
        <w:t>Beklentiler: Tanımlı konsorsiyumlar, metabolit temelli tedaviler ve mikrobiyota-bilgili risk skorları (çeşitlilik + takson + metabolit) önümüzdeki dönemin odaklarıdır.</w:t>
      </w:r>
    </w:p>
    <w:p>
      <w:pPr>
        <w:pStyle w:val="Heading2"/>
      </w:pPr>
      <w:r>
        <w:t>8. Sonuç</w:t>
      </w:r>
    </w:p>
    <w:p>
      <w:pPr>
        <w:ind w:firstLine="709"/>
      </w:pPr>
      <w:r>
        <w:rPr>
          <w:rFonts w:ascii="Times New Roman" w:hAnsi="Times New Roman"/>
          <w:sz w:val="24"/>
        </w:rPr>
        <w:t>Bağırsak mikrobiyotası, allo-HSCT’de enfeksiyon, GVHD ve sağkalımı şekillendiren dinamik bir “organ” gibi davranmaktadır. Landmark kohortlar çeşitlilik–mortalite ilişkisini; mekanistik çalışmalar SCFA’lar, Blautia, Enterococcus–laktoz ekseni ve epitel MHC-II düzenlenmesini aydınlatmıştır</w:t>
      </w:r>
      <w:r>
        <w:rPr>
          <w:rFonts w:ascii="Times New Roman" w:hAnsi="Times New Roman"/>
          <w:sz w:val="20"/>
          <w:vertAlign w:val="superscript"/>
        </w:rPr>
        <w:t>[1,3,4,6,12]</w:t>
      </w:r>
      <w:r>
        <w:rPr>
          <w:rFonts w:ascii="Times New Roman" w:hAnsi="Times New Roman"/>
          <w:sz w:val="24"/>
        </w:rPr>
        <w:t>. Son üç yılda meta-analizler, kısıtlayıcı antibiyotik stratejileri ve steroid dirençli GI-GVHD için standartlaştırılmış FMT ürünleri klinik çeviriyi hızlandırmıştır</w:t>
      </w:r>
      <w:r>
        <w:rPr>
          <w:rFonts w:ascii="Times New Roman" w:hAnsi="Times New Roman"/>
          <w:sz w:val="20"/>
          <w:vertAlign w:val="superscript"/>
        </w:rPr>
        <w:t>[11,13,19]</w:t>
      </w:r>
      <w:r>
        <w:rPr>
          <w:rFonts w:ascii="Times New Roman" w:hAnsi="Times New Roman"/>
          <w:sz w:val="24"/>
        </w:rPr>
        <w:t>. Rutin uygulamada en olgun adım antimikrobiyal stewardship ve beslenme desteğidir; FMT ve tanımlı mikrobiyom tedavileri seçilmiş endikasyonlarda, tercihen klinik araştırma çerçevesinde yerini genişletmektedir. Gelecek çalışmaların randomize, çok merkezli ve sonlanım odaklı tasarlanması, “mikrobiyota restorasyonu”nun hangi hastada, ne zaman ve hangi ürünle klinik yarara dönüştüğünü netleştirecektir.</w:t>
      </w:r>
    </w:p>
    <w:p>
      <w:pPr>
        <w:pStyle w:val="Heading2"/>
      </w:pPr>
      <w:r>
        <w:t>9. Sınırlılıklar</w:t>
      </w:r>
    </w:p>
    <w:p>
      <w:pPr>
        <w:ind w:firstLine="709"/>
      </w:pPr>
      <w:r>
        <w:rPr>
          <w:rFonts w:ascii="Times New Roman" w:hAnsi="Times New Roman"/>
          <w:sz w:val="24"/>
        </w:rPr>
        <w:t>Bu derlemenin sınırlılıkları şunlardır: birincil çalışmaların çoğu gözlemsel kohorttur ve nedensellik iddiası temkin gerektirir; antibiyotik endikasyonu ile mikrobiyota bozulması arasında residual confounding mümkündür</w:t>
      </w:r>
      <w:r>
        <w:rPr>
          <w:rFonts w:ascii="Times New Roman" w:hAnsi="Times New Roman"/>
          <w:sz w:val="20"/>
          <w:vertAlign w:val="superscript"/>
        </w:rPr>
        <w:t>[1]</w:t>
      </w:r>
      <w:r>
        <w:rPr>
          <w:rFonts w:ascii="Times New Roman" w:hAnsi="Times New Roman"/>
          <w:sz w:val="20"/>
          <w:vertAlign w:val="superscript"/>
        </w:rPr>
        <w:t>[5]</w:t>
      </w:r>
      <w:r>
        <w:rPr>
          <w:rFonts w:ascii="Times New Roman" w:hAnsi="Times New Roman"/>
          <w:sz w:val="24"/>
        </w:rPr>
        <w:t>. Dizileme yöntemleri (16S versus shotgun), çeşitlilik eşikleri ve örnekleme zamanları merkezler arasında homojen değildir</w:t>
      </w:r>
      <w:r>
        <w:rPr>
          <w:rFonts w:ascii="Times New Roman" w:hAnsi="Times New Roman"/>
          <w:sz w:val="20"/>
          <w:vertAlign w:val="superscript"/>
        </w:rPr>
        <w:t>[11]</w:t>
      </w:r>
      <w:r>
        <w:rPr>
          <w:rFonts w:ascii="Times New Roman" w:hAnsi="Times New Roman"/>
          <w:sz w:val="20"/>
          <w:vertAlign w:val="superscript"/>
        </w:rPr>
        <w:t>[26]</w:t>
      </w:r>
      <w:r>
        <w:rPr>
          <w:rFonts w:ascii="Times New Roman" w:hAnsi="Times New Roman"/>
          <w:sz w:val="24"/>
        </w:rPr>
        <w:t>. FMT çalışmalarının birçoğu tek kollu veya küçük örnek büyüklüklüdür; primer sonlanımlar (GVHD yanıtı versus enfeksiyon) karşılaştırılabilirliği zorlaştırır</w:t>
      </w:r>
      <w:r>
        <w:rPr>
          <w:rFonts w:ascii="Times New Roman" w:hAnsi="Times New Roman"/>
          <w:sz w:val="20"/>
          <w:vertAlign w:val="superscript"/>
        </w:rPr>
        <w:t>[13]</w:t>
      </w:r>
      <w:r>
        <w:rPr>
          <w:rFonts w:ascii="Times New Roman" w:hAnsi="Times New Roman"/>
          <w:sz w:val="20"/>
          <w:vertAlign w:val="superscript"/>
        </w:rPr>
        <w:t>[14]</w:t>
      </w:r>
      <w:r>
        <w:rPr>
          <w:rFonts w:ascii="Times New Roman" w:hAnsi="Times New Roman"/>
          <w:sz w:val="20"/>
          <w:vertAlign w:val="superscript"/>
        </w:rPr>
        <w:t>[22]</w:t>
      </w:r>
      <w:r>
        <w:rPr>
          <w:rFonts w:ascii="Times New Roman" w:hAnsi="Times New Roman"/>
          <w:sz w:val="24"/>
        </w:rPr>
        <w:t>. Bununla birlikte, bağımsız kohort tekrarı, mekanistik modeller ve meta-analizlerin aynı yönde bulgu vermesi alanın klinik geçerliliğini güçlendirmektedir</w:t>
      </w:r>
      <w:r>
        <w:rPr>
          <w:rFonts w:ascii="Times New Roman" w:hAnsi="Times New Roman"/>
          <w:sz w:val="20"/>
          <w:vertAlign w:val="superscript"/>
        </w:rPr>
        <w:t>[1]</w:t>
      </w:r>
      <w:r>
        <w:rPr>
          <w:rFonts w:ascii="Times New Roman" w:hAnsi="Times New Roman"/>
          <w:sz w:val="20"/>
          <w:vertAlign w:val="superscript"/>
        </w:rPr>
        <w:t>[11]</w:t>
      </w:r>
      <w:r>
        <w:rPr>
          <w:rFonts w:ascii="Times New Roman" w:hAnsi="Times New Roman"/>
          <w:sz w:val="20"/>
          <w:vertAlign w:val="superscript"/>
        </w:rPr>
        <w:t>[12]</w:t>
      </w:r>
      <w:r>
        <w:rPr>
          <w:rFonts w:ascii="Times New Roman" w:hAnsi="Times New Roman"/>
          <w:sz w:val="24"/>
        </w:rPr>
        <w:t>.</w:t>
      </w:r>
    </w:p>
    <w:p>
      <w:pPr>
        <w:pStyle w:val="Heading2"/>
      </w:pPr>
      <w:r>
        <w:t>Çıkar çatışması</w:t>
      </w:r>
    </w:p>
    <w:p>
      <w:pPr>
        <w:ind w:firstLine="709"/>
      </w:pPr>
      <w:r>
        <w:rPr>
          <w:rFonts w:ascii="Times New Roman" w:hAnsi="Times New Roman"/>
          <w:b w:val="0"/>
          <w:sz w:val="24"/>
        </w:rPr>
        <w:t>Yazarlar bu derleme ile ilgili çıkar çatışması bildirmemektedir. Metin eğitim/öğretim amaçlı sentez olup tedavi kararı yerine geçmez.</w:t>
      </w:r>
    </w:p>
    <w:p>
      <w:pPr>
        <w:pStyle w:val="Heading2"/>
      </w:pPr>
      <w:r>
        <w:t>Kaynaklar</w:t>
      </w:r>
    </w:p>
    <w:p>
      <w:pPr>
        <w:spacing w:after="80" w:line="276" w:lineRule="auto"/>
        <w:ind w:left="425" w:hanging="425"/>
      </w:pPr>
      <w:r>
        <w:rPr>
          <w:rFonts w:ascii="Times New Roman" w:hAnsi="Times New Roman"/>
          <w:sz w:val="20"/>
        </w:rPr>
        <w:t>1. Peled JU, Gomes ALC, Devlin SM, et al. Microbiota as predictor of mortality in allogeneic hematopoietic-cell transplantation. N Engl J Med. 2020;382(9):822-834.</w:t>
      </w:r>
    </w:p>
    <w:p>
      <w:pPr>
        <w:spacing w:after="80" w:line="276" w:lineRule="auto"/>
        <w:ind w:left="425" w:hanging="425"/>
      </w:pPr>
      <w:r>
        <w:rPr>
          <w:rFonts w:ascii="Times New Roman" w:hAnsi="Times New Roman"/>
          <w:sz w:val="20"/>
        </w:rPr>
        <w:t>2. Taur Y, Xavier JB, Lipuma L, et al. Intestinal domination and the risk of bacteremia in patients undergoing allogeneic hematopoietic stem cell transplantation. Clin Infect Dis. 2012;55(7):905-914.</w:t>
      </w:r>
    </w:p>
    <w:p>
      <w:pPr>
        <w:spacing w:after="80" w:line="276" w:lineRule="auto"/>
        <w:ind w:left="425" w:hanging="425"/>
      </w:pPr>
      <w:r>
        <w:rPr>
          <w:rFonts w:ascii="Times New Roman" w:hAnsi="Times New Roman"/>
          <w:sz w:val="20"/>
        </w:rPr>
        <w:t>3. Jenq RR, Taur Y, Devlin SM, et al. Intestinal Blautia is associated with reduced death from graft-versus-host disease. Biol Blood Marrow Transplant. 2015;21(8):1373-1383.</w:t>
      </w:r>
    </w:p>
    <w:p>
      <w:pPr>
        <w:spacing w:after="80" w:line="276" w:lineRule="auto"/>
        <w:ind w:left="425" w:hanging="425"/>
      </w:pPr>
      <w:r>
        <w:rPr>
          <w:rFonts w:ascii="Times New Roman" w:hAnsi="Times New Roman"/>
          <w:sz w:val="20"/>
        </w:rPr>
        <w:t>4. Mathewson ND, Jenq R, Mathew AV, et al. Gut microbiome-derived metabolites modulate intestinal epithelial cell damage and mitigate graft-versus-host disease. Nat Immunol. 2016;17(5):505-513.</w:t>
      </w:r>
    </w:p>
    <w:p>
      <w:pPr>
        <w:spacing w:after="80" w:line="276" w:lineRule="auto"/>
        <w:ind w:left="425" w:hanging="425"/>
      </w:pPr>
      <w:r>
        <w:rPr>
          <w:rFonts w:ascii="Times New Roman" w:hAnsi="Times New Roman"/>
          <w:sz w:val="20"/>
        </w:rPr>
        <w:t>5. Shono Y, Docampo MD, Peled JU, et al. Increased GVHD-related mortality with broad-spectrum antibiotic use after allogeneic hematopoietic stem cell transplantation in human patients and mice. Sci Transl Med. 2016;8(339):339ra71.</w:t>
      </w:r>
    </w:p>
    <w:p>
      <w:pPr>
        <w:spacing w:after="80" w:line="276" w:lineRule="auto"/>
        <w:ind w:left="425" w:hanging="425"/>
      </w:pPr>
      <w:r>
        <w:rPr>
          <w:rFonts w:ascii="Times New Roman" w:hAnsi="Times New Roman"/>
          <w:sz w:val="20"/>
        </w:rPr>
        <w:t>6. Stein-Thoeringer CK, Nichols KB, Lazrak A, et al. Lactose drives Enterococcus expansion to promote graft-versus-host disease. Science. 2019;366(6469):1143-1149.</w:t>
      </w:r>
    </w:p>
    <w:p>
      <w:pPr>
        <w:spacing w:after="80" w:line="276" w:lineRule="auto"/>
        <w:ind w:left="425" w:hanging="425"/>
      </w:pPr>
      <w:r>
        <w:rPr>
          <w:rFonts w:ascii="Times New Roman" w:hAnsi="Times New Roman"/>
          <w:sz w:val="20"/>
        </w:rPr>
        <w:t>7. Taur Y, Coyte K, Schluter J, et al. Reconstitution of the gut microbiota of antibiotic-treated patients by autologous fecal microbiota transplant. Sci Transl Med. 2018;10(460):eaap9489.</w:t>
      </w:r>
    </w:p>
    <w:p>
      <w:pPr>
        <w:spacing w:after="80" w:line="276" w:lineRule="auto"/>
        <w:ind w:left="425" w:hanging="425"/>
      </w:pPr>
      <w:r>
        <w:rPr>
          <w:rFonts w:ascii="Times New Roman" w:hAnsi="Times New Roman"/>
          <w:sz w:val="20"/>
        </w:rPr>
        <w:t>8. van Bekkum DW, Roodenburg J, Heidt PJ, van der Waaij D. Mitigation of secondary disease of allogeneic mouse radiation chimeras by modification of the intestinal microflora. J Natl Cancer Inst. 1974;52(2):401-404.</w:t>
      </w:r>
    </w:p>
    <w:p>
      <w:pPr>
        <w:spacing w:after="80" w:line="276" w:lineRule="auto"/>
        <w:ind w:left="425" w:hanging="425"/>
      </w:pPr>
      <w:r>
        <w:rPr>
          <w:rFonts w:ascii="Times New Roman" w:hAnsi="Times New Roman"/>
          <w:sz w:val="20"/>
        </w:rPr>
        <w:t>9. Jones JM, Wilson R, Bealmear PM. Mortality and gross pathology of secondary disease in germfree mouse radiation chimeras. Radiat Res. 1971;45(3):577-588.</w:t>
      </w:r>
    </w:p>
    <w:p>
      <w:pPr>
        <w:spacing w:after="80" w:line="276" w:lineRule="auto"/>
        <w:ind w:left="425" w:hanging="425"/>
      </w:pPr>
      <w:r>
        <w:rPr>
          <w:rFonts w:ascii="Times New Roman" w:hAnsi="Times New Roman"/>
          <w:sz w:val="20"/>
        </w:rPr>
        <w:t>10. van Lier YF, Vos J, Blom B, Hazenberg MD. Allogeneic hematopoietic cell transplantation, the microbiome, and graft-versus-host disease. Gut Microbes. 2023;15(1):2178805.</w:t>
      </w:r>
    </w:p>
    <w:p>
      <w:pPr>
        <w:spacing w:after="80" w:line="276" w:lineRule="auto"/>
        <w:ind w:left="425" w:hanging="425"/>
      </w:pPr>
      <w:r>
        <w:rPr>
          <w:rFonts w:ascii="Times New Roman" w:hAnsi="Times New Roman"/>
          <w:sz w:val="20"/>
        </w:rPr>
        <w:t>11. Wang W, Xu S, Ren Z, Jiang L, Liu H. The association of intestinal microbiota diversity and outcomes of allogeneic hematopoietic cell transplantation: a systematic review and meta-analysis. Ann Hematol. 2023;102(12):3341-3355.</w:t>
      </w:r>
    </w:p>
    <w:p>
      <w:pPr>
        <w:spacing w:after="80" w:line="276" w:lineRule="auto"/>
        <w:ind w:left="425" w:hanging="425"/>
      </w:pPr>
      <w:r>
        <w:rPr>
          <w:rFonts w:ascii="Times New Roman" w:hAnsi="Times New Roman"/>
          <w:sz w:val="20"/>
        </w:rPr>
        <w:t>12. Koyama M, Hippe DS, Srinivasan S, et al. Intestinal microbiota controls graft-versus-host disease independent of donor-host genetic disparity. Immunity. 2023;56(8):1876-1893.e8.</w:t>
      </w:r>
    </w:p>
    <w:p>
      <w:pPr>
        <w:spacing w:after="80" w:line="276" w:lineRule="auto"/>
        <w:ind w:left="425" w:hanging="425"/>
      </w:pPr>
      <w:r>
        <w:rPr>
          <w:rFonts w:ascii="Times New Roman" w:hAnsi="Times New Roman"/>
          <w:sz w:val="20"/>
        </w:rPr>
        <w:t>13. Malard F, Loschi M, Huynh A, et al. Pooled allogeneic faecal microbiota MaaT013 for steroid-resistant gastrointestinal acute graft-versus-host disease: a single-arm, multicentre phase 2 trial. EClinicalMedicine. 2023;62:102111.</w:t>
      </w:r>
    </w:p>
    <w:p>
      <w:pPr>
        <w:spacing w:after="80" w:line="276" w:lineRule="auto"/>
        <w:ind w:left="425" w:hanging="425"/>
      </w:pPr>
      <w:r>
        <w:rPr>
          <w:rFonts w:ascii="Times New Roman" w:hAnsi="Times New Roman"/>
          <w:sz w:val="20"/>
        </w:rPr>
        <w:t>14. Rashidi A, Ebadi M, Rehman TU, et al. Randomized double-blind phase II trial of fecal microbiota transplantation versus placebo in allogeneic hematopoietic cell transplantation and AML. J Clin Oncol. 2023;41(34):5306-5319.</w:t>
      </w:r>
    </w:p>
    <w:p>
      <w:pPr>
        <w:spacing w:after="80" w:line="276" w:lineRule="auto"/>
        <w:ind w:left="425" w:hanging="425"/>
      </w:pPr>
      <w:r>
        <w:rPr>
          <w:rFonts w:ascii="Times New Roman" w:hAnsi="Times New Roman"/>
          <w:sz w:val="20"/>
        </w:rPr>
        <w:t>15. Staffas A, Burgos da Silva M, van den Brink MRM. The intestinal microbiota in allogeneic hematopoietic cell transplant and graft-versus-host disease. Blood. 2017;129(8):927-937.</w:t>
      </w:r>
    </w:p>
    <w:p>
      <w:pPr>
        <w:spacing w:after="80" w:line="276" w:lineRule="auto"/>
        <w:ind w:left="425" w:hanging="425"/>
      </w:pPr>
      <w:r>
        <w:rPr>
          <w:rFonts w:ascii="Times New Roman" w:hAnsi="Times New Roman"/>
          <w:sz w:val="20"/>
        </w:rPr>
        <w:t>16. Tanaka JS, Young RR, Hockenberry DM, et al. Anaerobic antibiotics and the risk of graft-versus-host disease after allogeneic hematopoietic stem cell transplantation. Biol Blood Marrow Transplant. 2020;26(11):2059-2069.</w:t>
      </w:r>
    </w:p>
    <w:p>
      <w:pPr>
        <w:spacing w:after="80" w:line="276" w:lineRule="auto"/>
        <w:ind w:left="425" w:hanging="425"/>
      </w:pPr>
      <w:r>
        <w:rPr>
          <w:rFonts w:ascii="Times New Roman" w:hAnsi="Times New Roman"/>
          <w:sz w:val="20"/>
        </w:rPr>
        <w:t>17. Payen M, Nicolis I, Robin M, et al. Functional and phylogenetic alterations in gut microbiome are linked to graft-versus-host disease severity. Blood Adv. 2020;4(9):1824-1832.</w:t>
      </w:r>
    </w:p>
    <w:p>
      <w:pPr>
        <w:spacing w:after="80" w:line="276" w:lineRule="auto"/>
        <w:ind w:left="425" w:hanging="425"/>
      </w:pPr>
      <w:r>
        <w:rPr>
          <w:rFonts w:ascii="Times New Roman" w:hAnsi="Times New Roman"/>
          <w:sz w:val="20"/>
        </w:rPr>
        <w:t>18. Yoshifuji K, Inamoto Y, Takashima S, et al. Prebiotics protect against acute graft-versus-host disease and preserve the gut microbiota in stem cell transplantation. Blood Adv. 2021;5(9):2288-2299.</w:t>
      </w:r>
    </w:p>
    <w:p>
      <w:pPr>
        <w:spacing w:after="80" w:line="276" w:lineRule="auto"/>
        <w:ind w:left="425" w:hanging="425"/>
      </w:pPr>
      <w:r>
        <w:rPr>
          <w:rFonts w:ascii="Times New Roman" w:hAnsi="Times New Roman"/>
          <w:sz w:val="20"/>
        </w:rPr>
        <w:t>19. Weber D, Hiergeist A, Weber M, et al. Restrictive versus permissive use of broad-spectrum antibiotics in patients receiving allogeneic stem cell transplantation and with early fever due to cytokine release syndrome: evidence for beneficial microbiota protection without increase in infectious complications. Clin Infect Dis. 2023;77(10):1432-1439.</w:t>
      </w:r>
    </w:p>
    <w:p>
      <w:pPr>
        <w:spacing w:after="80" w:line="276" w:lineRule="auto"/>
        <w:ind w:left="425" w:hanging="425"/>
      </w:pPr>
      <w:r>
        <w:rPr>
          <w:rFonts w:ascii="Times New Roman" w:hAnsi="Times New Roman"/>
          <w:sz w:val="20"/>
        </w:rPr>
        <w:t>20. Schwabkey ZI, Wiesnoski DH, Chang CC, et al. Blood and guts: how the intestinal microbiome shapes hematopoiesis and treatment of hematologic disease. Front Immunol. 2024;15:1397047.</w:t>
      </w:r>
    </w:p>
    <w:p>
      <w:pPr>
        <w:spacing w:after="80" w:line="276" w:lineRule="auto"/>
        <w:ind w:left="425" w:hanging="425"/>
      </w:pPr>
      <w:r>
        <w:rPr>
          <w:rFonts w:ascii="Times New Roman" w:hAnsi="Times New Roman"/>
          <w:sz w:val="20"/>
        </w:rPr>
        <w:t>21. Goeser F, Silling G, Farowski F, et al. Narrative review: advancing dysbiosis treatment in onco-hematology with microbiome-based therapeutic approaches. Cancers (Basel). 2024;16(22):3819.</w:t>
      </w:r>
    </w:p>
    <w:p>
      <w:pPr>
        <w:spacing w:after="80" w:line="276" w:lineRule="auto"/>
        <w:ind w:left="425" w:hanging="425"/>
      </w:pPr>
      <w:r>
        <w:rPr>
          <w:rFonts w:ascii="Times New Roman" w:hAnsi="Times New Roman"/>
          <w:sz w:val="20"/>
        </w:rPr>
        <w:t>22. Shouval R, Geva M, Nagler A, et al. Fecal microbiota transplantation in capsules for the treatment of steroid refractory and steroid dependent acute graft vs. host disease: a pilot study. Bone Marrow Transplant. 2024;59(5):652-659.</w:t>
      </w:r>
    </w:p>
    <w:p>
      <w:pPr>
        <w:spacing w:after="80" w:line="276" w:lineRule="auto"/>
        <w:ind w:left="425" w:hanging="425"/>
      </w:pPr>
      <w:r>
        <w:rPr>
          <w:rFonts w:ascii="Times New Roman" w:hAnsi="Times New Roman"/>
          <w:sz w:val="20"/>
        </w:rPr>
        <w:t>23. Gardiner B, Wardill HR, O'Connor G, Hargrave D, Lett AM. The impact of fibre and prebiotic interventions on outcomes in cancer and haematopoietic stem cell transplantation: a systematic review. Clin Nutr. 2025;44:86-100.</w:t>
      </w:r>
    </w:p>
    <w:p>
      <w:pPr>
        <w:spacing w:after="80" w:line="276" w:lineRule="auto"/>
        <w:ind w:left="425" w:hanging="425"/>
      </w:pPr>
      <w:r>
        <w:rPr>
          <w:rFonts w:ascii="Times New Roman" w:hAnsi="Times New Roman"/>
          <w:sz w:val="20"/>
        </w:rPr>
        <w:t>24. Zhao Y, Li X, Zhou Y, et al. Fecal microbiota transplantation for refractory chronic graft-versus-host disease after allogeneic hematopoietic cell transplantation: a pilot open-label study. BMC Med. 2025;23:428.</w:t>
      </w:r>
    </w:p>
    <w:p>
      <w:pPr>
        <w:spacing w:after="80" w:line="276" w:lineRule="auto"/>
        <w:ind w:left="425" w:hanging="425"/>
      </w:pPr>
      <w:r>
        <w:rPr>
          <w:rFonts w:ascii="Times New Roman" w:hAnsi="Times New Roman"/>
          <w:sz w:val="20"/>
        </w:rPr>
        <w:t>25. Peled JU, Jenq RR, Holler E, van den Brink MRM. Role of gut flora after bone marrow transplantation. Nat Microbiol. 2016;1:16036.</w:t>
      </w:r>
    </w:p>
    <w:p>
      <w:pPr>
        <w:spacing w:after="80" w:line="276" w:lineRule="auto"/>
        <w:ind w:left="425" w:hanging="425"/>
      </w:pPr>
      <w:r>
        <w:rPr>
          <w:rFonts w:ascii="Times New Roman" w:hAnsi="Times New Roman"/>
          <w:sz w:val="20"/>
        </w:rPr>
        <w:t>26. Andermann TM, Peled JU, Ho C, et al. The microbiome and hematopoietic cell transplantation: past, present, and future. Biol Blood Marrow Transplant. 2018;24(7):1322-1340.</w:t>
      </w:r>
    </w:p>
    <w:p>
      <w:pPr>
        <w:spacing w:after="80" w:line="276" w:lineRule="auto"/>
        <w:ind w:left="425" w:hanging="425"/>
      </w:pPr>
      <w:r>
        <w:rPr>
          <w:rFonts w:ascii="Times New Roman" w:hAnsi="Times New Roman"/>
          <w:sz w:val="20"/>
        </w:rPr>
        <w:t>27. Burgos da Silva M, Ponce DM, Dai A, et al. Preservation of fecal microbiome is associated with reduced rate of acute graft-versus-host disease and improved survival after allogeneic hematopoietic cell transplantation. Biol Blood Marrow Transplant. 2020;26(6):e138-e147.</w:t>
      </w:r>
    </w:p>
    <w:p>
      <w:pPr>
        <w:spacing w:after="80" w:line="276" w:lineRule="auto"/>
        <w:ind w:left="425" w:hanging="425"/>
      </w:pPr>
      <w:r>
        <w:rPr>
          <w:rFonts w:ascii="Times New Roman" w:hAnsi="Times New Roman"/>
          <w:sz w:val="20"/>
        </w:rPr>
        <w:t>28. Fredricks DN. The gut microbiota and graft-versus-host disease. J Clin Invest. 2019;129(5):1808-1817.</w:t>
      </w:r>
    </w:p>
    <w:p>
      <w:pPr>
        <w:spacing w:after="80" w:line="276" w:lineRule="auto"/>
        <w:ind w:left="425" w:hanging="425"/>
      </w:pPr>
      <w:r>
        <w:rPr>
          <w:rFonts w:ascii="Times New Roman" w:hAnsi="Times New Roman"/>
          <w:sz w:val="20"/>
        </w:rPr>
        <w:t>29. Holler E, Butzhammer P, Schmid K, et al. Metagenomic analysis of the stool microbiome in patients receiving allogeneic stem cell transplantation: loss of diversity is associated with use of systemic antibiotics and more pronounced in gastrointestinal graft-versus-host disease. Biol Blood Marrow Transplant. 2014;20(5):640-645.</w:t>
      </w:r>
    </w:p>
    <w:p>
      <w:pPr>
        <w:spacing w:after="80" w:line="276" w:lineRule="auto"/>
        <w:ind w:left="425" w:hanging="425"/>
      </w:pPr>
      <w:r>
        <w:rPr>
          <w:rFonts w:ascii="Times New Roman" w:hAnsi="Times New Roman"/>
          <w:sz w:val="20"/>
        </w:rPr>
        <w:t>30. Weber D, Oefner PJ, Hiergeist A, et al. Low urinary indoxyl sulfate levels early after transplant reflect a disrupted microbiome and are associated with poor outcome. Blood. 2015;126(14):1723-1728.</w:t>
      </w:r>
    </w:p>
    <w:p>
      <w:pPr>
        <w:spacing w:after="80" w:line="276" w:lineRule="auto"/>
        <w:ind w:left="425" w:hanging="425"/>
      </w:pPr>
      <w:r>
        <w:rPr>
          <w:rFonts w:ascii="Times New Roman" w:hAnsi="Times New Roman"/>
          <w:sz w:val="20"/>
        </w:rPr>
        <w:t>31. Docampo MD, Auletta JJ, Jenq RR. Emerging influence of the intestinal microbiota during allogeneic hematopoietic cell transplantation: control the gut and the body will follow. Biol Blood Marrow Transplant. 2015;21(8):1360-1366.</w:t>
      </w:r>
    </w:p>
    <w:p>
      <w:pPr>
        <w:spacing w:after="80" w:line="276" w:lineRule="auto"/>
        <w:ind w:left="425" w:hanging="425"/>
      </w:pPr>
      <w:r>
        <w:rPr>
          <w:rFonts w:ascii="Times New Roman" w:hAnsi="Times New Roman"/>
          <w:sz w:val="20"/>
        </w:rPr>
        <w:t>32. Golob JL, Pergam SA, Srinivasan S, et al. Stool microbiota at neutrophil recovery is predictive for severe acute graft versus host disease after hematopoietic cell transplantation. Clin Infect Dis. 2017;65(12):1984-1991.</w:t>
      </w:r>
    </w:p>
    <w:p>
      <w:pPr>
        <w:spacing w:after="80" w:line="276" w:lineRule="auto"/>
        <w:ind w:left="425" w:hanging="425"/>
      </w:pPr>
      <w:r>
        <w:rPr>
          <w:rFonts w:ascii="Times New Roman" w:hAnsi="Times New Roman"/>
          <w:sz w:val="20"/>
        </w:rPr>
        <w:t>33. Markey KA, Schluter J, Gomes ALC, et al. The microbe-derived short-chain fatty acids butyrate and propionate are associated with protection from chronic GVHD. Blood. 2020;136(1):130-136.</w:t>
      </w:r>
    </w:p>
    <w:p>
      <w:pPr>
        <w:spacing w:after="80" w:line="276" w:lineRule="auto"/>
        <w:ind w:left="425" w:hanging="425"/>
      </w:pPr>
      <w:r>
        <w:rPr>
          <w:rFonts w:ascii="Times New Roman" w:hAnsi="Times New Roman"/>
          <w:sz w:val="20"/>
        </w:rPr>
        <w:t>34. Mehta RS, Saliba RM, Jan A, et al. The Microbiome and Its Impact on Allogeneic Hematopoietic Cell Transplantation. Cancer J. 2023;29(2):75-83.</w:t>
      </w:r>
    </w:p>
    <w:p>
      <w:pPr>
        <w:spacing w:after="80" w:line="276" w:lineRule="auto"/>
        <w:ind w:left="425" w:hanging="425"/>
      </w:pPr>
      <w:r>
        <w:rPr>
          <w:rFonts w:ascii="Times New Roman" w:hAnsi="Times New Roman"/>
          <w:sz w:val="20"/>
        </w:rPr>
        <w:t>35. DeFilipp Z, Peled JU, Li S, et al. Third-party fecal microbiota transplantation following allo-HCT reconstitutes microbiome diversity. Blood Adv. 2018;2(7):745-753.</w:t>
      </w:r>
    </w:p>
    <w:p>
      <w:pPr>
        <w:spacing w:after="80" w:line="276" w:lineRule="auto"/>
        <w:ind w:left="425" w:hanging="425"/>
      </w:pPr>
      <w:r>
        <w:rPr>
          <w:rFonts w:ascii="Times New Roman" w:hAnsi="Times New Roman"/>
          <w:sz w:val="20"/>
        </w:rPr>
        <w:t>36. Kakihana K, Fujioka Y, Suda W, et al. Fecal microbiota transplantation for patients with steroid-resistant acute graft-versus-host disease of the gut. Blood. 2016;128(16):2083-2088.</w:t>
      </w:r>
    </w:p>
    <w:p>
      <w:pPr>
        <w:spacing w:after="80" w:line="276" w:lineRule="auto"/>
        <w:ind w:left="425" w:hanging="425"/>
      </w:pPr>
      <w:r>
        <w:rPr>
          <w:rFonts w:ascii="Times New Roman" w:hAnsi="Times New Roman"/>
          <w:sz w:val="20"/>
        </w:rPr>
        <w:t>37. Spindelboeck W, Schulz E, Uhl B, et al. Repeated fecal microbiota transplantations attenuate diarrhea and lead to sustained changes in the fecal microbiota in acute, refractory gastrointestinal graft-versus-host-disease. Haematologica. 2017;102(5):e210-e213.</w:t>
      </w:r>
    </w:p>
    <w:p>
      <w:pPr>
        <w:spacing w:after="80" w:line="276" w:lineRule="auto"/>
        <w:ind w:left="425" w:hanging="425"/>
      </w:pPr>
      <w:r>
        <w:rPr>
          <w:rFonts w:ascii="Times New Roman" w:hAnsi="Times New Roman"/>
          <w:sz w:val="20"/>
        </w:rPr>
        <w:t>38. Bilinski J, Grzesiuk E, Tomaszewska A, et al. Fecal microbiota transplantation in patients with blood disorders inhibits gut colonization with antibiotic-resistant bacteria: results of a prospective, single-center study. Clin Infect Dis. 2017;65(3):364-370.</w:t>
      </w:r>
    </w:p>
    <w:sectPr w:rsidR="00FC693F" w:rsidRPr="0006063C" w:rsidSect="00034616">
      <w:footerReference w:type="default" r:id="rId9"/>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0"/>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Rule="auto" w:line="360" w:after="120"/>
      <w:jc w:val="both"/>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1A476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1A476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1A476F"/>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