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3242"/>
        </w:rPr>
        <w:t>Cancer &amp; Predisposing Factors</w:t>
      </w:r>
    </w:p>
    <w:p>
      <w:r>
        <w:rPr>
          <w:b w:val="0"/>
          <w:i/>
          <w:sz w:val="22"/>
        </w:rPr>
        <w:t>Lecture script for teaching — Chemical Carcinogens, Tobacco, and Radiation</w:t>
      </w:r>
    </w:p>
    <w:p>
      <w:r>
        <w:rPr>
          <w:b w:val="0"/>
          <w:i w:val="0"/>
          <w:sz w:val="22"/>
        </w:rPr>
        <w:t>Prof. Dr. Ş. Bilge Gürsel</w:t>
      </w:r>
    </w:p>
    <w:p>
      <w:r>
        <w:rPr>
          <w:b w:val="0"/>
          <w:i w:val="0"/>
          <w:sz w:val="22"/>
        </w:rPr>
        <w:t>Ondokuz Mayıs University Faculty of Medicine · Department of Radiation Oncology</w:t>
      </w:r>
    </w:p>
    <w:p>
      <w:r>
        <w:rPr>
          <w:b w:val="0"/>
          <w:i w:val="0"/>
          <w:sz w:val="22"/>
        </w:rPr>
        <w:t>Companion to: Cancer_Predisposing_Factors_Chemical_Tobacco_Radiation.pptx</w:t>
      </w:r>
    </w:p>
    <w:p/>
    <w:p>
      <w:pPr>
        <w:pStyle w:val="Heading1"/>
      </w:pPr>
      <w:r>
        <w:rPr>
          <w:color w:val="143242"/>
        </w:rPr>
        <w:t>1. How to Open the Lecture (2–3 minutes)</w:t>
      </w:r>
    </w:p>
    <w:p>
      <w:r>
        <w:rPr>
          <w:b w:val="0"/>
          <w:i w:val="0"/>
          <w:sz w:val="22"/>
        </w:rPr>
        <w:t>Start by asking: “If most cancers are not inherited, where do they come from?” Explain that today’s session connects three major external drivers of cancer — chemicals (including occupational exposures), tobacco smoke, and radiation — and that the same biological story (DNA damage → clonal selection → progression) runs through all three.</w:t>
      </w:r>
    </w:p>
    <w:p>
      <w:r>
        <w:rPr>
          <w:b/>
          <w:i w:val="0"/>
          <w:sz w:val="22"/>
        </w:rPr>
        <w:t>Learning objectives to state aloud:</w:t>
      </w:r>
    </w:p>
    <w:p>
      <w:pPr>
        <w:pStyle w:val="ListBullet"/>
      </w:pPr>
      <w:r>
        <w:rPr>
          <w:sz w:val="22"/>
        </w:rPr>
        <w:t>Describe environmental and lifestyle contributions to cancer risk.</w:t>
      </w:r>
    </w:p>
    <w:p>
      <w:pPr>
        <w:pStyle w:val="ListBullet"/>
      </w:pPr>
      <w:r>
        <w:rPr>
          <w:sz w:val="22"/>
        </w:rPr>
        <w:t>Classify chemical carcinogens (IARC; genotoxic vs non-genotoxic) and outline initiation–promotion–progression.</w:t>
      </w:r>
    </w:p>
    <w:p>
      <w:pPr>
        <w:pStyle w:val="ListBullet"/>
      </w:pPr>
      <w:r>
        <w:rPr>
          <w:sz w:val="22"/>
        </w:rPr>
        <w:t>List high-yield occupational carcinogens and associated cancers.</w:t>
      </w:r>
    </w:p>
    <w:p>
      <w:pPr>
        <w:pStyle w:val="ListBullet"/>
      </w:pPr>
      <w:r>
        <w:rPr>
          <w:sz w:val="22"/>
        </w:rPr>
        <w:t>Explain tobacco smoke constituents and multi-site carcinogenic effects.</w:t>
      </w:r>
    </w:p>
    <w:p>
      <w:pPr>
        <w:pStyle w:val="ListBullet"/>
      </w:pPr>
      <w:r>
        <w:rPr>
          <w:sz w:val="22"/>
        </w:rPr>
        <w:t>Summarize how ionizing and UV radiation cause cancer and why risk varies by dose and age.</w:t>
      </w:r>
    </w:p>
    <w:p>
      <w:pPr>
        <w:pStyle w:val="Heading1"/>
      </w:pPr>
      <w:r>
        <w:rPr>
          <w:color w:val="143242"/>
        </w:rPr>
        <w:t>2. Predisposing Factors — Big Picture (8–10 minutes)</w:t>
      </w:r>
    </w:p>
    <w:p>
      <w:r>
        <w:rPr>
          <w:b w:val="0"/>
          <w:i w:val="0"/>
          <w:sz w:val="22"/>
        </w:rPr>
        <w:t>Use the three pillars: Lifestyle, Environment, Family History. Emphasize that inherited cancer syndromes matter clinically but explain &lt;15% of cases. Most of the geographic variation in cancer is environmental.</w:t>
      </w:r>
    </w:p>
    <w:p>
      <w:r>
        <w:rPr>
          <w:b/>
          <w:i w:val="0"/>
          <w:sz w:val="22"/>
        </w:rPr>
        <w:t>Numbers worth putting on the board / slide:</w:t>
      </w:r>
    </w:p>
    <w:p>
      <w:pPr>
        <w:pStyle w:val="ListBullet"/>
      </w:pPr>
      <w:r>
        <w:rPr>
          <w:sz w:val="22"/>
        </w:rPr>
        <w:t>Lifetime cancer risk in developed countries ≈ 30%.</w:t>
      </w:r>
    </w:p>
    <w:p>
      <w:pPr>
        <w:pStyle w:val="ListBullet"/>
      </w:pPr>
      <w:r>
        <w:rPr>
          <w:sz w:val="22"/>
        </w:rPr>
        <w:t>About 85–95% of cancers relate to environmental/lifestyle factors.</w:t>
      </w:r>
    </w:p>
    <w:p>
      <w:pPr>
        <w:pStyle w:val="ListBullet"/>
      </w:pPr>
      <w:r>
        <w:rPr>
          <w:sz w:val="22"/>
        </w:rPr>
        <w:t>Avoidable deaths (classic Doll estimates): tobacco ~30%, diet 20–50%, infections 10–20%, radiation/UV 5–7%, occupation 2–4%, pollution 1–5%.</w:t>
      </w:r>
    </w:p>
    <w:p>
      <w:r>
        <w:rPr>
          <w:b w:val="0"/>
          <w:i w:val="0"/>
          <w:sz w:val="22"/>
        </w:rPr>
        <w:t>Migration story (Japanese → USA colorectal cancer): rates in immigrants and their US-born children rise toward host-country rates. This is your best classroom proof that environment can outweigh ancestry for many common cancers.</w:t>
      </w:r>
    </w:p>
    <w:p>
      <w:pPr>
        <w:pStyle w:val="Heading1"/>
      </w:pPr>
      <w:r>
        <w:rPr>
          <w:color w:val="143242"/>
        </w:rPr>
        <w:t>3. Chemical Carcinogens (18–20 minutes)</w:t>
      </w:r>
    </w:p>
    <w:p>
      <w:pPr>
        <w:pStyle w:val="Heading2"/>
      </w:pPr>
      <w:r>
        <w:rPr>
          <w:color w:val="143242"/>
        </w:rPr>
        <w:t>3.1 Definition and history</w:t>
      </w:r>
    </w:p>
    <w:p>
      <w:r>
        <w:rPr>
          <w:b w:val="0"/>
          <w:i w:val="0"/>
          <w:sz w:val="22"/>
        </w:rPr>
        <w:t>Define a carcinogen as an agent that increases cancer incidence after exposure. Tell the Percival Pott (1775) chimney-sweep story — historically the first clear link between an environmental chemical mixture (soot / PAHs) and human cancer (scrotal cancer). Point students to IARC Monographs as the living reference.</w:t>
      </w:r>
    </w:p>
    <w:p>
      <w:pPr>
        <w:pStyle w:val="Heading2"/>
      </w:pPr>
      <w:r>
        <w:rPr>
          <w:color w:val="143242"/>
        </w:rPr>
        <w:t>3.2 IARC groups</w:t>
      </w:r>
    </w:p>
    <w:p>
      <w:pPr>
        <w:pStyle w:val="ListBullet"/>
      </w:pPr>
      <w:r>
        <w:rPr>
          <w:sz w:val="22"/>
        </w:rPr>
        <w:t>Group 1 — carcinogenic to humans</w:t>
      </w:r>
    </w:p>
    <w:p>
      <w:pPr>
        <w:pStyle w:val="ListBullet"/>
      </w:pPr>
      <w:r>
        <w:rPr>
          <w:sz w:val="22"/>
        </w:rPr>
        <w:t>Group 2A — probably carcinogenic</w:t>
      </w:r>
    </w:p>
    <w:p>
      <w:pPr>
        <w:pStyle w:val="ListBullet"/>
      </w:pPr>
      <w:r>
        <w:rPr>
          <w:sz w:val="22"/>
        </w:rPr>
        <w:t>Group 2B — possibly carcinogenic</w:t>
      </w:r>
    </w:p>
    <w:p>
      <w:pPr>
        <w:pStyle w:val="ListBullet"/>
      </w:pPr>
      <w:r>
        <w:rPr>
          <w:sz w:val="22"/>
        </w:rPr>
        <w:t>Group 3 — not classifiable</w:t>
      </w:r>
    </w:p>
    <w:p>
      <w:r>
        <w:rPr>
          <w:b w:val="0"/>
          <w:i w:val="0"/>
          <w:sz w:val="22"/>
        </w:rPr>
        <w:t>Remind them that classification uses human, animal, and mechanistic evidence together.</w:t>
      </w:r>
    </w:p>
    <w:p>
      <w:pPr>
        <w:pStyle w:val="Heading2"/>
      </w:pPr>
      <w:r>
        <w:rPr>
          <w:color w:val="143242"/>
        </w:rPr>
        <w:t>3.3 Entry routes</w:t>
      </w:r>
    </w:p>
    <w:p>
      <w:r>
        <w:rPr>
          <w:b w:val="0"/>
          <w:i w:val="0"/>
          <w:sz w:val="22"/>
        </w:rPr>
        <w:t>Inhalation (most common at work), skin absorption, ingestion. Risk ≈ intensity × duration × susceptibility.</w:t>
      </w:r>
    </w:p>
    <w:p>
      <w:pPr>
        <w:pStyle w:val="Heading2"/>
      </w:pPr>
      <w:r>
        <w:rPr>
          <w:color w:val="143242"/>
        </w:rPr>
        <w:t>3.4 Genotoxic vs non-genotoxic</w:t>
      </w:r>
    </w:p>
    <w:p>
      <w:r>
        <w:rPr>
          <w:b w:val="0"/>
          <w:i w:val="0"/>
          <w:sz w:val="22"/>
        </w:rPr>
        <w:t>Genotoxic agents damage DNA directly or via metabolites (DNA adducts, chromosomal injury). Many are procarcinogens activated by CYP450s (PAHs, aromatic amines, nitrosamines). Direct-acting examples include some alkylators. Metals such as Ni, Cr, Cd, As are important inorganic carcinogens.</w:t>
      </w:r>
    </w:p>
    <w:p>
      <w:r>
        <w:rPr>
          <w:b w:val="0"/>
          <w:i w:val="0"/>
          <w:sz w:val="22"/>
        </w:rPr>
        <w:t>Non-genotoxic agents do not mutate DNA as a first step. They drive proliferation, reduce apoptosis, activate receptors, induce enzymes, or create oxidative stress. They are harder to detect and often require long rodent bioassays.</w:t>
      </w:r>
    </w:p>
    <w:p>
      <w:pPr>
        <w:pStyle w:val="Heading2"/>
      </w:pPr>
      <w:r>
        <w:rPr>
          <w:color w:val="143242"/>
        </w:rPr>
        <w:t>3.5 Initiation → Promotion → Progression</w:t>
      </w:r>
    </w:p>
    <w:p>
      <w:r>
        <w:rPr>
          <w:b/>
          <w:i w:val="0"/>
          <w:sz w:val="22"/>
        </w:rPr>
        <w:t>Teach this as a narrative students can reuse in every later oncology course:</w:t>
      </w:r>
    </w:p>
    <w:p>
      <w:pPr>
        <w:pStyle w:val="ListBullet"/>
      </w:pPr>
      <w:r>
        <w:rPr>
          <w:sz w:val="22"/>
        </w:rPr>
        <w:t>Initiation: irreversible heritable DNA change in a key pathway (oncogene activation, tumor-suppressor or DNA-repair loss). Rapid; alone usually insufficient for a tumor.</w:t>
      </w:r>
    </w:p>
    <w:p>
      <w:pPr>
        <w:pStyle w:val="ListBullet"/>
      </w:pPr>
      <w:r>
        <w:rPr>
          <w:sz w:val="22"/>
        </w:rPr>
        <w:t>Promotion: reversible clonal expansion of initiated cells under continuous stimulation (mitogenic, not mutagenic). Classic mouse skin model: initiator + phorbol ester promoter.</w:t>
      </w:r>
    </w:p>
    <w:p>
      <w:pPr>
        <w:pStyle w:val="ListBullet"/>
      </w:pPr>
      <w:r>
        <w:rPr>
          <w:sz w:val="22"/>
        </w:rPr>
        <w:t>Progression: irreversible evolution toward invasion/metastasis via genomic instability, inflammation, angiogenesis, protease activity.</w:t>
      </w:r>
    </w:p>
    <w:p>
      <w:pPr>
        <w:pStyle w:val="Heading2"/>
      </w:pPr>
      <w:r>
        <w:rPr>
          <w:color w:val="143242"/>
        </w:rPr>
        <w:t>3.6 Environmental &amp; occupational agents (high-yield list)</w:t>
      </w:r>
    </w:p>
    <w:p>
      <w:r>
        <w:rPr>
          <w:b w:val="0"/>
          <w:i w:val="0"/>
          <w:sz w:val="22"/>
        </w:rPr>
        <w:t>Walk through a short ‘agent → cancer’ catalogue; do not read every database slide aloud.</w:t>
      </w:r>
    </w:p>
    <w:p>
      <w:pPr>
        <w:pStyle w:val="ListBullet"/>
      </w:pPr>
      <w:r>
        <w:rPr>
          <w:sz w:val="22"/>
        </w:rPr>
        <w:t>Benzene → leukemia (also present in tobacco smoke and gasoline).</w:t>
      </w:r>
    </w:p>
    <w:p>
      <w:pPr>
        <w:pStyle w:val="ListBullet"/>
      </w:pPr>
      <w:r>
        <w:rPr>
          <w:sz w:val="22"/>
        </w:rPr>
        <w:t>PAHs → lung, skin, urinary tract cancers (smoke, exhaust, grilled foods).</w:t>
      </w:r>
    </w:p>
    <w:p>
      <w:pPr>
        <w:pStyle w:val="ListBullet"/>
      </w:pPr>
      <w:r>
        <w:rPr>
          <w:sz w:val="22"/>
        </w:rPr>
        <w:t>Dioxins → persistent organic pollutants; body half-life ~7–11 years; fat accumulation.</w:t>
      </w:r>
    </w:p>
    <w:p>
      <w:pPr>
        <w:pStyle w:val="ListBullet"/>
      </w:pPr>
      <w:r>
        <w:rPr>
          <w:sz w:val="22"/>
        </w:rPr>
        <w:t>Vinyl chloride → hepatic angiosarcoma (plastics industry).</w:t>
      </w:r>
    </w:p>
    <w:p>
      <w:pPr>
        <w:pStyle w:val="ListBullet"/>
      </w:pPr>
      <w:r>
        <w:rPr>
          <w:sz w:val="22"/>
        </w:rPr>
        <w:t>Benzidine → bladder cancer (dye industry).</w:t>
      </w:r>
    </w:p>
    <w:p>
      <w:pPr>
        <w:pStyle w:val="ListBullet"/>
      </w:pPr>
      <w:r>
        <w:rPr>
          <w:sz w:val="22"/>
        </w:rPr>
        <w:t>Asbestos → mesothelioma and several solid tumors.</w:t>
      </w:r>
    </w:p>
    <w:p>
      <w:pPr>
        <w:pStyle w:val="ListBullet"/>
      </w:pPr>
      <w:r>
        <w:rPr>
          <w:sz w:val="22"/>
        </w:rPr>
        <w:t>Wood dust, silica, diesel exhaust, coal tars, painting/welding work — site-specific risks.</w:t>
      </w:r>
    </w:p>
    <w:p>
      <w:pPr>
        <w:pStyle w:val="ListBullet"/>
      </w:pPr>
      <w:r>
        <w:rPr>
          <w:sz w:val="22"/>
        </w:rPr>
        <w:t>Night-shift work — associated with breast cancer (discuss as emerging/occupational classification topic).</w:t>
      </w:r>
    </w:p>
    <w:p>
      <w:r>
        <w:rPr>
          <w:b w:val="0"/>
          <w:i w:val="0"/>
          <w:sz w:val="22"/>
        </w:rPr>
        <w:t>Optional depth: show 1–2 site panels (liver, NHL, childhood leukemia) to illustrate that one cancer can have many environmental contributors with different evidence grades.</w:t>
      </w:r>
    </w:p>
    <w:p>
      <w:pPr>
        <w:pStyle w:val="Heading1"/>
      </w:pPr>
      <w:r>
        <w:rPr>
          <w:color w:val="143242"/>
        </w:rPr>
        <w:t>4. Tobacco (10–12 minutes)</w:t>
      </w:r>
    </w:p>
    <w:p>
      <w:r>
        <w:rPr>
          <w:b w:val="0"/>
          <w:i w:val="0"/>
          <w:sz w:val="22"/>
        </w:rPr>
        <w:t>Frame tobacco as a portable chemical control room: one exposure delivers dozens of IARC carcinogens plus addiction biology that sustains dose for decades.</w:t>
      </w:r>
    </w:p>
    <w:p>
      <w:r>
        <w:rPr>
          <w:b/>
          <w:i w:val="0"/>
          <w:sz w:val="22"/>
        </w:rPr>
        <w:t>Facts to emphasize:</w:t>
      </w:r>
    </w:p>
    <w:p>
      <w:pPr>
        <w:pStyle w:val="ListBullet"/>
      </w:pPr>
      <w:r>
        <w:rPr>
          <w:sz w:val="22"/>
        </w:rPr>
        <w:t>~4,000 chemicals in smoke; &gt;70 carcinogenic.</w:t>
      </w:r>
    </w:p>
    <w:p>
      <w:pPr>
        <w:pStyle w:val="ListBullet"/>
      </w:pPr>
      <w:r>
        <w:rPr>
          <w:sz w:val="22"/>
        </w:rPr>
        <w:t>Major groups: PAHs, tobacco-specific nitrosamines, benzene, 1,3-butadiene, metals, polonium-210.</w:t>
      </w:r>
    </w:p>
    <w:p>
      <w:pPr>
        <w:pStyle w:val="ListBullet"/>
      </w:pPr>
      <w:r>
        <w:rPr>
          <w:sz w:val="22"/>
        </w:rPr>
        <w:t>Nicotine is not the main DNA-damaging carcinogen — it is the addiction engine.</w:t>
      </w:r>
    </w:p>
    <w:p>
      <w:pPr>
        <w:pStyle w:val="ListBullet"/>
      </w:pPr>
      <w:r>
        <w:rPr>
          <w:sz w:val="22"/>
        </w:rPr>
        <w:t>Multi-site disease: lung plus head &amp; neck, esophagus, stomach, pancreas, kidney, bladder, cervix, AML.</w:t>
      </w:r>
    </w:p>
    <w:p>
      <w:pPr>
        <w:pStyle w:val="ListBullet"/>
      </w:pPr>
      <w:r>
        <w:rPr>
          <w:sz w:val="22"/>
        </w:rPr>
        <w:t>Second-hand smoke is not harmless.</w:t>
      </w:r>
    </w:p>
    <w:p>
      <w:r>
        <w:rPr>
          <w:b w:val="0"/>
          <w:i w:val="0"/>
          <w:sz w:val="22"/>
        </w:rPr>
        <w:t>Mechanism to narrate: inhalation → metabolic activation → DNA adducts → driver mutations (e.g., TP53, KRAS) + chronic inflammation → field cancerization along the aerodigestive tract. Close with pack-years, risk reduction after quitting, and synergy with asbestos/radon/alcohol.</w:t>
      </w:r>
    </w:p>
    <w:p>
      <w:pPr>
        <w:pStyle w:val="Heading1"/>
      </w:pPr>
      <w:r>
        <w:rPr>
          <w:color w:val="143242"/>
        </w:rPr>
        <w:t>5. Radiation Carcinogenesis (10–12 minutes)</w:t>
      </w:r>
    </w:p>
    <w:p>
      <w:r>
        <w:rPr>
          <w:b w:val="0"/>
          <w:i w:val="0"/>
          <w:sz w:val="22"/>
        </w:rPr>
        <w:t>Bridge from chemicals: radiation is physical energy that produces chemical injury in DNA — directly or via free radicals from water radiolysis.</w:t>
      </w:r>
    </w:p>
    <w:p>
      <w:r>
        <w:rPr>
          <w:b/>
          <w:i w:val="0"/>
          <w:sz w:val="22"/>
        </w:rPr>
        <w:t>Core teaching sequence:</w:t>
      </w:r>
    </w:p>
    <w:p>
      <w:pPr>
        <w:pStyle w:val="ListBullet"/>
      </w:pPr>
      <w:r>
        <w:rPr>
          <w:sz w:val="22"/>
        </w:rPr>
        <w:t>Ionizing radiation and UV are established carcinogens; combined avoidable contribution ~5–7% of cancer deaths.</w:t>
      </w:r>
    </w:p>
    <w:p>
      <w:pPr>
        <w:pStyle w:val="ListBullet"/>
      </w:pPr>
      <w:r>
        <w:rPr>
          <w:sz w:val="22"/>
        </w:rPr>
        <w:t>Direct vs indirect DNA damage; double-strand breaks are particularly mutagenic if misrepaired.</w:t>
      </w:r>
    </w:p>
    <w:p>
      <w:pPr>
        <w:pStyle w:val="ListBullet"/>
      </w:pPr>
      <w:r>
        <w:rPr>
          <w:sz w:val="22"/>
        </w:rPr>
        <w:t>Human evidence: atomic-bomb survivors, medical exposures, radon miners; long latency for solid tumors.</w:t>
      </w:r>
    </w:p>
    <w:p>
      <w:pPr>
        <w:pStyle w:val="ListBullet"/>
      </w:pPr>
      <w:r>
        <w:rPr>
          <w:sz w:val="22"/>
        </w:rPr>
        <w:t>Tissue sensitivity: marrow, thyroid (especially children), breast, lung; age at exposure matters.</w:t>
      </w:r>
    </w:p>
    <w:p>
      <w:pPr>
        <w:pStyle w:val="ListBullet"/>
      </w:pPr>
      <w:r>
        <w:rPr>
          <w:sz w:val="22"/>
        </w:rPr>
        <w:t>Medical context: diagnostic ALARA; therapeutic RT benefits outweigh secondary-cancer risk when indicated; survivors still need long-term awareness.</w:t>
      </w:r>
    </w:p>
    <w:p>
      <w:r>
        <w:rPr>
          <w:b w:val="0"/>
          <w:i w:val="0"/>
          <w:sz w:val="22"/>
        </w:rPr>
        <w:t>If time allows, contrast UV (skin cancers / melanoma) with ionizing radiation (deeper tissues, leukemia, solid tumors).</w:t>
      </w:r>
    </w:p>
    <w:p>
      <w:pPr>
        <w:pStyle w:val="Heading1"/>
      </w:pPr>
      <w:r>
        <w:rPr>
          <w:color w:val="143242"/>
        </w:rPr>
        <w:t>6. Closing — Prevention Message (3 minutes)</w:t>
      </w:r>
    </w:p>
    <w:p>
      <w:r>
        <w:rPr>
          <w:b w:val="0"/>
          <w:i w:val="0"/>
          <w:sz w:val="22"/>
        </w:rPr>
        <w:t>End with agency, not fear: most of these risks are modifiable. Repeat the take-home list from the last slide. Invite one student question from each part (chemicals, tobacco, radiation).</w:t>
      </w:r>
    </w:p>
    <w:p>
      <w:pPr>
        <w:pStyle w:val="ListBullet"/>
      </w:pPr>
      <w:r>
        <w:rPr>
          <w:sz w:val="22"/>
        </w:rPr>
        <w:t>Most cancers are environmentally influenced — many deaths are avoidable.</w:t>
      </w:r>
    </w:p>
    <w:p>
      <w:pPr>
        <w:pStyle w:val="ListBullet"/>
      </w:pPr>
      <w:r>
        <w:rPr>
          <w:sz w:val="22"/>
        </w:rPr>
        <w:t>Know genotoxic vs non-genotoxic action and the three-step model.</w:t>
      </w:r>
    </w:p>
    <w:p>
      <w:pPr>
        <w:pStyle w:val="ListBullet"/>
      </w:pPr>
      <w:r>
        <w:rPr>
          <w:sz w:val="22"/>
        </w:rPr>
        <w:t>Tobacco is a multi-carcinogen mixture with multi-organ impact.</w:t>
      </w:r>
    </w:p>
    <w:p>
      <w:pPr>
        <w:pStyle w:val="ListBullet"/>
      </w:pPr>
      <w:r>
        <w:rPr>
          <w:sz w:val="22"/>
        </w:rPr>
        <w:t>Radiation risk is real, dose- and age-dependent, and must be balanced with medical benefit.</w:t>
      </w:r>
    </w:p>
    <w:p>
      <w:pPr>
        <w:pStyle w:val="Heading1"/>
      </w:pPr>
      <w:r>
        <w:rPr>
          <w:color w:val="143242"/>
        </w:rPr>
        <w:t>7. Suggested Classroom Timing (≈ 70–80 minutes, or split into 2 sessions)</w:t>
      </w:r>
    </w:p>
    <w:p>
      <w:pPr>
        <w:pStyle w:val="ListBullet"/>
      </w:pPr>
      <w:r>
        <w:rPr>
          <w:sz w:val="22"/>
        </w:rPr>
        <w:t>0–5 min — Hook &amp; objectives</w:t>
      </w:r>
    </w:p>
    <w:p>
      <w:pPr>
        <w:pStyle w:val="ListBullet"/>
      </w:pPr>
      <w:r>
        <w:rPr>
          <w:sz w:val="22"/>
        </w:rPr>
        <w:t>5–18 min — Predisposing factors, avoidable risks, migration evidence</w:t>
      </w:r>
    </w:p>
    <w:p>
      <w:pPr>
        <w:pStyle w:val="ListBullet"/>
      </w:pPr>
      <w:r>
        <w:rPr>
          <w:sz w:val="22"/>
        </w:rPr>
        <w:t>18–45 min — Chemical carcinogens (mechanisms + environmental/occupational catalogue)</w:t>
      </w:r>
    </w:p>
    <w:p>
      <w:pPr>
        <w:pStyle w:val="ListBullet"/>
      </w:pPr>
      <w:r>
        <w:rPr>
          <w:sz w:val="22"/>
        </w:rPr>
        <w:t>45–60 min — Tobacco (constituents, mechanisms, multi-site disease)</w:t>
      </w:r>
    </w:p>
    <w:p>
      <w:pPr>
        <w:pStyle w:val="ListBullet"/>
      </w:pPr>
      <w:r>
        <w:rPr>
          <w:sz w:val="22"/>
        </w:rPr>
        <w:t>60–75 min — Radiation carcinogenesis</w:t>
      </w:r>
    </w:p>
    <w:p>
      <w:pPr>
        <w:pStyle w:val="ListBullet"/>
      </w:pPr>
      <w:r>
        <w:rPr>
          <w:sz w:val="22"/>
        </w:rPr>
        <w:t>75–80 min — Prevention &amp; take-home messages</w:t>
      </w:r>
    </w:p>
    <w:p>
      <w:pPr>
        <w:pStyle w:val="ListBullet"/>
      </w:pPr>
      <w:r>
        <w:rPr>
          <w:sz w:val="22"/>
        </w:rPr>
        <w:t>If time is short: keep all mechanism slides; skim long agent lists and point students to the deck.</w:t>
      </w:r>
    </w:p>
    <w:p>
      <w:pPr>
        <w:pStyle w:val="Heading1"/>
      </w:pPr>
      <w:r>
        <w:rPr>
          <w:color w:val="143242"/>
        </w:rPr>
        <w:t>8. Optional Mini-Cases / Questions</w:t>
      </w:r>
    </w:p>
    <w:p>
      <w:pPr>
        <w:pStyle w:val="ListBullet"/>
      </w:pPr>
      <w:r>
        <w:rPr>
          <w:sz w:val="22"/>
        </w:rPr>
        <w:t>A plastics worker develops hepatic angiosarcoma — which classic agent do you suspect?</w:t>
      </w:r>
    </w:p>
    <w:p>
      <w:pPr>
        <w:pStyle w:val="ListBullet"/>
      </w:pPr>
      <w:r>
        <w:rPr>
          <w:sz w:val="22"/>
        </w:rPr>
        <w:t>Why can Japanese immigrants’ colorectal cancer rates change within one generation?</w:t>
      </w:r>
    </w:p>
    <w:p>
      <w:pPr>
        <w:pStyle w:val="ListBullet"/>
      </w:pPr>
      <w:r>
        <w:rPr>
          <w:sz w:val="22"/>
        </w:rPr>
        <w:t>A patient asks whether nicotine patches cause cancer like cigarettes — how do you answer?</w:t>
      </w:r>
    </w:p>
    <w:p>
      <w:pPr>
        <w:pStyle w:val="ListBullet"/>
      </w:pPr>
      <w:r>
        <w:rPr>
          <w:sz w:val="22"/>
        </w:rPr>
        <w:t>Why are children more vulnerable to radiation-related thyroid cancer?</w:t>
      </w:r>
    </w:p>
    <w:p>
      <w:pPr>
        <w:pStyle w:val="ListBullet"/>
      </w:pPr>
      <w:r>
        <w:rPr>
          <w:sz w:val="22"/>
        </w:rPr>
        <w:t>Name one genotoxic and one non-genotoxic carcinogenic mechanism.</w:t>
      </w:r>
    </w:p>
    <w:p>
      <w:pPr>
        <w:pStyle w:val="Heading1"/>
      </w:pPr>
      <w:r>
        <w:rPr>
          <w:color w:val="143242"/>
        </w:rPr>
        <w:t>9. Key References (for slide / handout)</w:t>
      </w:r>
    </w:p>
    <w:p>
      <w:pPr>
        <w:pStyle w:val="ListBullet"/>
      </w:pPr>
      <w:r>
        <w:rPr>
          <w:sz w:val="22"/>
        </w:rPr>
        <w:t>IARC Monographs: https://monographs.iarc.who.int/</w:t>
      </w:r>
    </w:p>
    <w:p>
      <w:pPr>
        <w:pStyle w:val="ListBullet"/>
      </w:pPr>
      <w:r>
        <w:rPr>
          <w:sz w:val="22"/>
        </w:rPr>
        <w:t>Doll R. Recent Results Cancer Res. 1998;154:3–21.</w:t>
      </w:r>
    </w:p>
    <w:p>
      <w:pPr>
        <w:pStyle w:val="ListBullet"/>
      </w:pPr>
      <w:r>
        <w:rPr>
          <w:sz w:val="22"/>
        </w:rPr>
        <w:t>Robbins &amp; Kumar, Basic Pathology — neoplasia / carcinogenesis.</w:t>
      </w:r>
    </w:p>
    <w:p>
      <w:pPr>
        <w:pStyle w:val="ListBullet"/>
      </w:pPr>
      <w:r>
        <w:rPr>
          <w:sz w:val="22"/>
        </w:rPr>
        <w:t>DeVita VT et al., Cancer: Principles &amp; Practice of Oncology.</w:t>
      </w:r>
    </w:p>
    <w:p>
      <w:pPr>
        <w:pStyle w:val="ListBullet"/>
      </w:pPr>
      <w:r>
        <w:rPr>
          <w:sz w:val="22"/>
        </w:rPr>
        <w:t>Perez CA, Brady LW et al., Principles and Practice of Radiation Oncology.</w:t>
      </w:r>
    </w:p>
    <w:p>
      <w:pPr>
        <w:pStyle w:val="ListBullet"/>
      </w:pPr>
      <w:r>
        <w:rPr>
          <w:sz w:val="22"/>
        </w:rPr>
        <w:t>WHO / NCI / NIEHS environmental carcinogen resources.</w:t>
      </w:r>
    </w:p>
    <w:p>
      <w:pPr>
        <w:pStyle w:val="ListBullet"/>
      </w:pPr>
      <w:r>
        <w:rPr>
          <w:sz w:val="22"/>
        </w:rPr>
        <w:t>Tür A (ed.). Scientific Aspects of Cigarette Smoking. Logos, 2005.</w:t>
      </w:r>
    </w:p>
    <w:p>
      <w:pPr>
        <w:pStyle w:val="Heading1"/>
      </w:pPr>
      <w:r>
        <w:rPr>
          <w:color w:val="143242"/>
        </w:rPr>
        <w:t>10. Speaker Notes — Tone</w:t>
      </w:r>
    </w:p>
    <w:p>
      <w:r>
        <w:rPr>
          <w:b w:val="0"/>
          <w:i w:val="0"/>
          <w:sz w:val="22"/>
        </w:rPr>
        <w:t>Keep language precise but accessible for medical students. Prefer mechanisms and clinical associations over encyclopedic chemical lists. When a slide shows a long agent catalogue, teach the pattern (route → activation → target organ) rather than memorization of every compound. Correct common misconceptions gently: ‘natural’ does not mean safe (aflatoxin, UV); ‘low dose’ is not always ‘no risk’; and necessary medical radiation is not the same as unnecessary exposure.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