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242"/>
        </w:rPr>
        <w:t>Cancer &amp; Predisposing Factors — Lecture Script (Visual Deck)</w:t>
      </w:r>
    </w:p>
    <w:p>
      <w:r>
        <w:rPr>
          <w:b w:val="0"/>
          <w:i/>
        </w:rPr>
        <w:t>Companion to the visual PowerPoint with flowcharts and diagrams</w:t>
      </w:r>
    </w:p>
    <w:p>
      <w:r>
        <w:rPr>
          <w:b w:val="0"/>
          <w:i w:val="0"/>
        </w:rPr>
        <w:t>Prof. Dr. Ş. Bilge Gürsel · OMÜ Faculty of Medicine · Radiation Oncology</w:t>
      </w:r>
    </w:p>
    <w:p>
      <w:r>
        <w:rPr>
          <w:b w:val="0"/>
          <w:i w:val="0"/>
        </w:rPr>
      </w:r>
    </w:p>
    <w:p>
      <w:pPr>
        <w:pStyle w:val="Heading1"/>
      </w:pPr>
      <w:r>
        <w:rPr>
          <w:color w:val="143242"/>
        </w:rPr>
        <w:t>How to use the visual slides</w:t>
      </w:r>
    </w:p>
    <w:p>
      <w:r>
        <w:rPr>
          <w:b w:val="0"/>
          <w:i w:val="0"/>
        </w:rPr>
        <w:t>This deck is intentionally visual. When you teach, narrate the diagrams — do not read bullet lists aloud.</w:t>
      </w:r>
    </w:p>
    <w:p>
      <w:pPr>
        <w:pStyle w:val="ListBullet"/>
      </w:pPr>
      <w:r>
        <w:t>Point to arrows in flowcharts (Initiation → Promotion → Progression; tobacco pathway; radiation DNA paths).</w:t>
      </w:r>
    </w:p>
    <w:p>
      <w:pPr>
        <w:pStyle w:val="ListBullet"/>
      </w:pPr>
      <w:r>
        <w:t>Use the bar chart slide for avoidable risks — ask students which bar is largest before revealing tobacco.</w:t>
      </w:r>
    </w:p>
    <w:p>
      <w:pPr>
        <w:pStyle w:val="ListBullet"/>
      </w:pPr>
      <w:r>
        <w:t>On the migration flowchart, pause and ask: ‘What changed — genes or environment?’</w:t>
      </w:r>
    </w:p>
    <w:p>
      <w:pPr>
        <w:pStyle w:val="ListBullet"/>
      </w:pPr>
      <w:r>
        <w:t>For the cigarette cocktail diagram, emphasize nicotine as addiction, not the main DNA toxin.</w:t>
      </w:r>
    </w:p>
    <w:p>
      <w:pPr>
        <w:pStyle w:val="ListBullet"/>
      </w:pPr>
      <w:r>
        <w:t>On the body multi-site map, have students shout sites before you reveal distant ones (bladder, AML).</w:t>
      </w:r>
    </w:p>
    <w:p>
      <w:pPr>
        <w:pStyle w:val="Heading1"/>
      </w:pPr>
      <w:r>
        <w:rPr>
          <w:color w:val="143242"/>
        </w:rPr>
        <w:t>1. Opening (3–5 min)</w:t>
      </w:r>
    </w:p>
    <w:p>
      <w:r>
        <w:rPr>
          <w:b w:val="0"/>
          <w:i w:val="0"/>
        </w:rPr>
        <w:t>Hook: ‘If most cancers are not inherited, where do they come from?’ Show the three-pillar visual.</w:t>
      </w:r>
    </w:p>
    <w:p>
      <w:pPr>
        <w:pStyle w:val="ListBullet"/>
      </w:pPr>
      <w:r>
        <w:t>State objectives using the five numbered cards.</w:t>
      </w:r>
    </w:p>
    <w:p>
      <w:pPr>
        <w:pStyle w:val="ListBullet"/>
      </w:pPr>
      <w:r>
        <w:t>Promise three stories: chemicals, tobacco, radiation — one shared biology.</w:t>
      </w:r>
    </w:p>
    <w:p>
      <w:pPr>
        <w:pStyle w:val="Heading1"/>
      </w:pPr>
      <w:r>
        <w:rPr>
          <w:color w:val="143242"/>
        </w:rPr>
        <w:t>2. Predisposing factors (12–15 min)</w:t>
      </w:r>
    </w:p>
    <w:p>
      <w:pPr>
        <w:pStyle w:val="ListBullet"/>
      </w:pPr>
      <w:r>
        <w:t>Lifestyle / Environment / Inheritance cards.</w:t>
      </w:r>
    </w:p>
    <w:p>
      <w:pPr>
        <w:pStyle w:val="ListBullet"/>
      </w:pPr>
      <w:r>
        <w:t>Key numbers: 85–95% environmental-lifestyle; &lt;15% inherited.</w:t>
      </w:r>
    </w:p>
    <w:p>
      <w:pPr>
        <w:pStyle w:val="ListBullet"/>
      </w:pPr>
      <w:r>
        <w:t>Avoidable-risk bar chart (Doll): tobacco dominates.</w:t>
      </w:r>
    </w:p>
    <w:p>
      <w:pPr>
        <w:pStyle w:val="ListBullet"/>
      </w:pPr>
      <w:r>
        <w:t>Migration flowchart (Japan → USA colorectal rates) — best classroom proof.</w:t>
      </w:r>
    </w:p>
    <w:p>
      <w:pPr>
        <w:pStyle w:val="Heading1"/>
      </w:pPr>
      <w:r>
        <w:rPr>
          <w:color w:val="143242"/>
        </w:rPr>
        <w:t>3. Chemical carcinogens (25–30 min)</w:t>
      </w:r>
    </w:p>
    <w:p>
      <w:pPr>
        <w:pStyle w:val="Heading2"/>
      </w:pPr>
      <w:r>
        <w:rPr>
          <w:color w:val="143242"/>
        </w:rPr>
        <w:t>3.1 Definition &amp; IARC pyramid</w:t>
      </w:r>
    </w:p>
    <w:p>
      <w:r>
        <w:rPr>
          <w:b w:val="0"/>
          <w:i w:val="0"/>
        </w:rPr>
        <w:t>Percival Pott 1775 → PAHs. Walk down the IARC pyramid from Group 1 to Group 3.</w:t>
      </w:r>
    </w:p>
    <w:p>
      <w:pPr>
        <w:pStyle w:val="Heading2"/>
      </w:pPr>
      <w:r>
        <w:rPr>
          <w:color w:val="143242"/>
        </w:rPr>
        <w:t>3.2 Entry routes diagram</w:t>
      </w:r>
    </w:p>
    <w:p>
      <w:r>
        <w:rPr>
          <w:b w:val="0"/>
          <w:i w:val="0"/>
        </w:rPr>
        <w:t>Three big portals: inhalation, skin, ingestion. Ask which is most common at work (inhalation).</w:t>
      </w:r>
    </w:p>
    <w:p>
      <w:pPr>
        <w:pStyle w:val="Heading2"/>
      </w:pPr>
      <w:r>
        <w:rPr>
          <w:color w:val="143242"/>
        </w:rPr>
        <w:t>3.3 Twin pathway diagram</w:t>
      </w:r>
    </w:p>
    <w:p>
      <w:r>
        <w:rPr>
          <w:b w:val="0"/>
          <w:i w:val="0"/>
        </w:rPr>
        <w:t>Left = genotoxic (DNA adduct → mutation). Right = non-genotoxic (proliferation / selection).</w:t>
      </w:r>
    </w:p>
    <w:p>
      <w:pPr>
        <w:pStyle w:val="Heading2"/>
      </w:pPr>
      <w:r>
        <w:rPr>
          <w:color w:val="143242"/>
        </w:rPr>
        <w:t>3.4 IPP flowchart + mouse skin timeline</w:t>
      </w:r>
    </w:p>
    <w:p>
      <w:pPr>
        <w:pStyle w:val="ListBullet"/>
      </w:pPr>
      <w:r>
        <w:t>Initiation irreversible; promotion reversible; progression invasive.</w:t>
      </w:r>
    </w:p>
    <w:p>
      <w:pPr>
        <w:pStyle w:val="ListBullet"/>
      </w:pPr>
      <w:r>
        <w:t>Mouse skin: B[a]P initiator + phorbol ester promoter — order matters.</w:t>
      </w:r>
    </w:p>
    <w:p>
      <w:pPr>
        <w:pStyle w:val="Heading2"/>
      </w:pPr>
      <w:r>
        <w:rPr>
          <w:color w:val="143242"/>
        </w:rPr>
        <w:t>3.5 Agent cards, metals map, occupation map</w:t>
      </w:r>
    </w:p>
    <w:p>
      <w:r>
        <w:rPr>
          <w:b w:val="0"/>
          <w:i w:val="0"/>
        </w:rPr>
        <w:t>Teach patterns (route → organ), not every chemical. Highlight benzene, PAHs, vinyl chloride, asbestos.</w:t>
      </w:r>
    </w:p>
    <w:p>
      <w:pPr>
        <w:pStyle w:val="Heading1"/>
      </w:pPr>
      <w:r>
        <w:rPr>
          <w:color w:val="143242"/>
        </w:rPr>
        <w:t>4. Tobacco (12–15 min)</w:t>
      </w:r>
    </w:p>
    <w:p>
      <w:pPr>
        <w:pStyle w:val="ListBullet"/>
      </w:pPr>
      <w:r>
        <w:t>Cocktail diagram: ~4000 chemicals, &gt;70 carcinogens; nicotine = addiction engine.</w:t>
      </w:r>
    </w:p>
    <w:p>
      <w:pPr>
        <w:pStyle w:val="ListBullet"/>
      </w:pPr>
      <w:r>
        <w:t>5-step pathway: Inhalation → Activation → DNA adducts → Field change → Cancer.</w:t>
      </w:r>
    </w:p>
    <w:p>
      <w:pPr>
        <w:pStyle w:val="ListBullet"/>
      </w:pPr>
      <w:r>
        <w:t>Multi-site body map: local + distant organs.</w:t>
      </w:r>
    </w:p>
    <w:p>
      <w:pPr>
        <w:pStyle w:val="ListBullet"/>
      </w:pPr>
      <w:r>
        <w:t>Close with pack-years, cessation, second-hand smoke, Ask–Advise–Assist–Arrange.</w:t>
      </w:r>
    </w:p>
    <w:p>
      <w:pPr>
        <w:pStyle w:val="Heading1"/>
      </w:pPr>
      <w:r>
        <w:rPr>
          <w:color w:val="143242"/>
        </w:rPr>
        <w:t>5. Radiation (12–15 min)</w:t>
      </w:r>
    </w:p>
    <w:p>
      <w:pPr>
        <w:pStyle w:val="ListBullet"/>
      </w:pPr>
      <w:r>
        <w:t>DNA diagram: Direct vs Indirect (•OH) → misrepair → cancer.</w:t>
      </w:r>
    </w:p>
    <w:p>
      <w:pPr>
        <w:pStyle w:val="ListBullet"/>
      </w:pPr>
      <w:r>
        <w:t>Risk matrix: dose, dose rate, age, tissue, sex, combined exposures.</w:t>
      </w:r>
    </w:p>
    <w:p>
      <w:pPr>
        <w:pStyle w:val="ListBullet"/>
      </w:pPr>
      <w:r>
        <w:t>Ionizing vs UV two-column comparison.</w:t>
      </w:r>
    </w:p>
    <w:p>
      <w:pPr>
        <w:pStyle w:val="ListBullet"/>
      </w:pPr>
      <w:r>
        <w:t>Medical balance: ALARA for imaging; therapeutic RT benefit when indicated.</w:t>
      </w:r>
    </w:p>
    <w:p>
      <w:pPr>
        <w:pStyle w:val="Heading1"/>
      </w:pPr>
      <w:r>
        <w:rPr>
          <w:color w:val="143242"/>
        </w:rPr>
        <w:t>6. Prevention &amp; close (5 min)</w:t>
      </w:r>
    </w:p>
    <w:p>
      <w:r>
        <w:rPr>
          <w:b w:val="0"/>
          <w:i w:val="0"/>
        </w:rPr>
        <w:t>Prevention cycle icons + six take-home numbered messages. Invite one question per major part.</w:t>
      </w:r>
    </w:p>
    <w:p>
      <w:pPr>
        <w:pStyle w:val="Heading1"/>
      </w:pPr>
      <w:r>
        <w:rPr>
          <w:color w:val="143242"/>
        </w:rPr>
        <w:t>Suggested timing</w:t>
      </w:r>
    </w:p>
    <w:p>
      <w:pPr>
        <w:pStyle w:val="ListBullet"/>
      </w:pPr>
      <w:r>
        <w:t>Single long session: 70–80 minutes</w:t>
      </w:r>
    </w:p>
    <w:p>
      <w:pPr>
        <w:pStyle w:val="ListBullet"/>
      </w:pPr>
      <w:r>
        <w:t>Or split: Session A (intro + chemicals), Session B (tobacco + radiation + prevention)</w:t>
      </w:r>
    </w:p>
    <w:p>
      <w:pPr>
        <w:pStyle w:val="ListBullet"/>
      </w:pPr>
      <w:r>
        <w:t>If short on time: keep all flowchart slides; skim long text lists.</w:t>
      </w:r>
    </w:p>
    <w:p>
      <w:pPr>
        <w:pStyle w:val="Heading1"/>
      </w:pPr>
      <w:r>
        <w:rPr>
          <w:color w:val="143242"/>
        </w:rPr>
        <w:t>Mini-cases</w:t>
      </w:r>
    </w:p>
    <w:p>
      <w:pPr>
        <w:pStyle w:val="ListBullet"/>
      </w:pPr>
      <w:r>
        <w:t>Plastics worker + hepatic angiosarcoma → which agent?</w:t>
      </w:r>
    </w:p>
    <w:p>
      <w:pPr>
        <w:pStyle w:val="ListBullet"/>
      </w:pPr>
      <w:r>
        <w:t>Why do Japanese immigrants’ colorectal rates change?</w:t>
      </w:r>
    </w:p>
    <w:p>
      <w:pPr>
        <w:pStyle w:val="ListBullet"/>
      </w:pPr>
      <w:r>
        <w:t>Do nicotine patches cause cancer like cigarettes?</w:t>
      </w:r>
    </w:p>
    <w:p>
      <w:pPr>
        <w:pStyle w:val="ListBullet"/>
      </w:pPr>
      <w:r>
        <w:t>Why are children more vulnerable to radiation-related thyroid cancer?</w:t>
      </w:r>
    </w:p>
    <w:p>
      <w:pPr>
        <w:pStyle w:val="ListBullet"/>
      </w:pPr>
      <w:r>
        <w:t>Name one genotoxic and one non-genotoxic mechanism.</w:t>
      </w:r>
    </w:p>
    <w:p>
      <w:pPr>
        <w:pStyle w:val="Heading1"/>
      </w:pPr>
      <w:r>
        <w:rPr>
          <w:color w:val="143242"/>
        </w:rPr>
        <w:t>References</w:t>
      </w:r>
    </w:p>
    <w:p>
      <w:pPr>
        <w:pStyle w:val="ListBullet"/>
      </w:pPr>
      <w:r>
        <w:t>IARC Monographs — https://monographs.iarc.who.int/</w:t>
      </w:r>
    </w:p>
    <w:p>
      <w:pPr>
        <w:pStyle w:val="ListBullet"/>
      </w:pPr>
      <w:r>
        <w:t>Doll R. Recent Results Cancer Res. 1998;154:3–21</w:t>
      </w:r>
    </w:p>
    <w:p>
      <w:pPr>
        <w:pStyle w:val="ListBullet"/>
      </w:pPr>
      <w:r>
        <w:t>Robbins &amp; Kumar — Basic Pathology</w:t>
      </w:r>
    </w:p>
    <w:p>
      <w:pPr>
        <w:pStyle w:val="ListBullet"/>
      </w:pPr>
      <w:r>
        <w:t>DeVita — Cancer: Principles &amp; Practice of Oncology</w:t>
      </w:r>
    </w:p>
    <w:p>
      <w:pPr>
        <w:pStyle w:val="ListBullet"/>
      </w:pPr>
      <w:r>
        <w:t>Perez &amp; Brady — Principles and Practice of Radiation Oncology</w:t>
      </w:r>
    </w:p>
    <w:p>
      <w:pPr>
        <w:pStyle w:val="ListBullet"/>
      </w:pPr>
      <w:r>
        <w:t>WHO / NCI / NIEHS resources</w:t>
      </w:r>
    </w:p>
    <w:p>
      <w:pPr>
        <w:pStyle w:val="ListBullet"/>
      </w:pPr>
      <w:r>
        <w:t>Tür A (ed.). Scientific Aspects of Cigarette Smoking, 2005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