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YAŞLILARDA ENFEKSİYON HASTALIKLARINA GENEL YAKLAŞIM</w:t>
      </w:r>
    </w:p>
    <w:p>
      <w:pPr>
        <w:pStyle w:val="Heading2"/>
      </w:pPr>
      <w:r>
        <w:t>GİRİŞ</w:t>
      </w:r>
    </w:p>
    <w:p>
      <w:pPr>
        <w:ind w:firstLine="567"/>
      </w:pPr>
      <w:r>
        <w:rPr>
          <w:rFonts w:ascii="Times New Roman" w:hAnsi="Times New Roman"/>
          <w:sz w:val="24"/>
        </w:rPr>
        <w:t>Enfeksiyon hastalıkları, yaşlı bireylerde morbidite ve mortalitenin en önemli nedenlerinden biridir. 65 yaş üstü popülasyonda solunum yolu enfeksiyonları, idrar yolu enfeksiyonları (İYE), deri-yumuşak doku enfeksiyonları, sepsis ve Clostridioides difficile enfeksiyonu sık görülür; hastane yatışları, fonksiyonel gerileme, deliryum ve uzun dönem bakım kuruluşu (UDBK) yerleşimi ile ilişkilidir. Genç yetişkinlerde geçerli olan “ateş + lokalizasyon bulgusu = enfeksiyon” modeli yaşlı hastada çoğu zaman yetersiz kalır</w:t>
      </w:r>
      <w:r>
        <w:rPr>
          <w:rFonts w:ascii="Times New Roman" w:hAnsi="Times New Roman"/>
          <w:sz w:val="20"/>
          <w:vertAlign w:val="superscript"/>
        </w:rPr>
        <w:t>[1]</w:t>
      </w:r>
      <w:r>
        <w:rPr>
          <w:rFonts w:ascii="Times New Roman" w:hAnsi="Times New Roman"/>
          <w:sz w:val="24"/>
        </w:rPr>
        <w:t>. Bu bölümde, diğer kitap bölümlerinde olduğu gibi (hiperlipidemi, tiroid hastalıkları vb.), neden–niçin mantığı ve algoritmik yaklaşım üzerinden yaşlılarda enfeksiyon yönetiminin genel çerçevesi sunulmaktadır.</w:t>
      </w:r>
    </w:p>
    <w:p>
      <w:pPr>
        <w:ind w:firstLine="567"/>
      </w:pPr>
      <w:r>
        <w:rPr>
          <w:rFonts w:ascii="Times New Roman" w:hAnsi="Times New Roman"/>
          <w:b/>
          <w:sz w:val="24"/>
        </w:rPr>
        <w:t>Temel mesaj: Yaşlıda enfeksiyon yönetimi, tek bir organ odaklı değil; bütüncül geriatrik değerlendirme, komorbidite etkileşimi, kırılganlık (frailty) düzeyi ve tedavi hedeflerinin bireyselleştirilmesi üzerine kurulmalıdır.</w:t>
      </w:r>
    </w:p>
    <w:p>
      <w:pPr>
        <w:pStyle w:val="Heading2"/>
      </w:pPr>
      <w:r>
        <w:t>EPİDEMİYOLOJİ VE KLİNİK YÜK</w:t>
      </w:r>
    </w:p>
    <w:p>
      <w:pPr>
        <w:ind w:firstLine="567"/>
      </w:pPr>
      <w:r>
        <w:rPr>
          <w:rFonts w:ascii="Times New Roman" w:hAnsi="Times New Roman"/>
          <w:sz w:val="24"/>
        </w:rPr>
        <w:t>Yaşlanan dünya nüfusunda enfeksiyonlar, kronik hastalıkların alevlenmesi ve akut geriatrik sendromların (deliryum, düşme, immobilite, inkontinans) önemli tetikleyicilerindendir. 75 yaş üstünde antibiyotik kullanım sıklığı genç yetişkinlere kıyasla yaklaşık iki kat; 90 yaş üstünde ve UDBK sakinlerinde ise üç kata kadar artmaktadır</w:t>
      </w:r>
      <w:r>
        <w:rPr>
          <w:rFonts w:ascii="Times New Roman" w:hAnsi="Times New Roman"/>
          <w:sz w:val="20"/>
          <w:vertAlign w:val="superscript"/>
        </w:rPr>
        <w:t>[3]</w:t>
      </w:r>
      <w:r>
        <w:rPr>
          <w:rFonts w:ascii="Times New Roman" w:hAnsi="Times New Roman"/>
          <w:sz w:val="24"/>
        </w:rPr>
        <w:t xml:space="preserve">. Sepsis acil servis başvurularının önemli bir bölümünü oluşturur; sepsis nedeniyle acil yatışların ortalama yaşı 71’dir </w:t>
      </w:r>
      <w:r>
        <w:rPr>
          <w:rFonts w:ascii="Times New Roman" w:hAnsi="Times New Roman"/>
          <w:sz w:val="20"/>
          <w:vertAlign w:val="superscript"/>
        </w:rPr>
        <w:t>[4]</w:t>
      </w:r>
      <w:r>
        <w:rPr>
          <w:rFonts w:ascii="Times New Roman" w:hAnsi="Times New Roman"/>
          <w:sz w:val="24"/>
        </w:rPr>
        <w:t>. Enfeksiyon kaynaklı mortalite yaşlılarda belirgin şekilde yüksektir; bunun başlıca nedenleri gecikmiş tanı, atipik sunum, komorbid organ disfonksiyonu, immün yanıtın zayıflaması ve geç başlanan uygun antimikrobiyal tedavidir.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Tablo 1. Yaşlılarda sık görülen enfeksiyon sendromları ve tipik kaynaklar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Sendrom</w:t>
            </w:r>
          </w:p>
        </w:tc>
        <w:tc>
          <w:tcPr>
            <w:tcW w:type="dxa" w:w="2835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Sık etkenler</w:t>
            </w:r>
          </w:p>
        </w:tc>
        <w:tc>
          <w:tcPr>
            <w:tcW w:type="dxa" w:w="3118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Yaşlıya özgü risk faktörleri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Solunum yolu enfeksiyonu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S. pneumoniae, influenza, SARS-CoV-2, RSV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KOAH, kalp yetmezliği, aşı eksikliği, aspirasyon</w:t>
            </w:r>
          </w:p>
        </w:tc>
      </w:tr>
      <w:tr>
        <w:tc>
          <w:tcPr>
            <w:tcW w:type="dxa" w:w="2551"/>
            <w:shd w:fill="EDF2F9" w:val="clear"/>
          </w:tcPr>
          <w:p>
            <w:r>
              <w:rPr>
                <w:sz w:val="20"/>
              </w:rPr>
              <w:t>İYE / piyelonefrit</w:t>
            </w:r>
          </w:p>
        </w:tc>
        <w:tc>
          <w:tcPr>
            <w:tcW w:type="dxa" w:w="2835"/>
            <w:shd w:fill="EDF2F9" w:val="clear"/>
          </w:tcPr>
          <w:p>
            <w:r>
              <w:rPr>
                <w:sz w:val="20"/>
              </w:rPr>
              <w:t>E. coli, Proteus, Klebsiella</w:t>
            </w:r>
          </w:p>
        </w:tc>
        <w:tc>
          <w:tcPr>
            <w:tcW w:type="dxa" w:w="3118"/>
            <w:shd w:fill="EDF2F9" w:val="clear"/>
          </w:tcPr>
          <w:p>
            <w:r>
              <w:rPr>
                <w:sz w:val="20"/>
              </w:rPr>
              <w:t>İdrar retansiyonu, kateter, diyabet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Deri-yumuşak doku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MRSA, streptokok, anaeroblar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Dekubitus, venöz yetmezlik, yetersiz bakım</w:t>
            </w:r>
          </w:p>
        </w:tc>
      </w:tr>
      <w:tr>
        <w:tc>
          <w:tcPr>
            <w:tcW w:type="dxa" w:w="2551"/>
            <w:shd w:fill="EDF2F9" w:val="clear"/>
          </w:tcPr>
          <w:p>
            <w:r>
              <w:rPr>
                <w:sz w:val="20"/>
              </w:rPr>
              <w:t>Sepsis</w:t>
            </w:r>
          </w:p>
        </w:tc>
        <w:tc>
          <w:tcPr>
            <w:tcW w:type="dxa" w:w="2835"/>
            <w:shd w:fill="EDF2F9" w:val="clear"/>
          </w:tcPr>
          <w:p>
            <w:r>
              <w:rPr>
                <w:sz w:val="20"/>
              </w:rPr>
              <w:t>Gram negatif, MRSA, polimikrobiyal</w:t>
            </w:r>
          </w:p>
        </w:tc>
        <w:tc>
          <w:tcPr>
            <w:tcW w:type="dxa" w:w="3118"/>
            <w:shd w:fill="EDF2F9" w:val="clear"/>
          </w:tcPr>
          <w:p>
            <w:r>
              <w:rPr>
                <w:sz w:val="20"/>
              </w:rPr>
              <w:t>Kırılganlık, kateter, malnütrisyon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C. difficile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Toksin üreten C. difficile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Antibiyotik maruziyeti, PPI, hospitalizasyon</w:t>
            </w:r>
          </w:p>
        </w:tc>
      </w:tr>
    </w:tbl>
    <w:p/>
    <w:p>
      <w:pPr>
        <w:pStyle w:val="Heading2"/>
      </w:pPr>
      <w:r>
        <w:t>YAŞLILARDA ENFEKSİYON RİSKİNİN NEDENLERİ: PATOFİZİYOLOJİK ÇERÇEVE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Yaşlıda artmış enfeksiyon riski tek bir mekanizmaya indirgenemez. Klinik karar verme için aşağıdaki başlıkların birlikte değerlendirilmesi gerekir.</w:t>
      </w:r>
    </w:p>
    <w:p>
      <w:pPr>
        <w:pStyle w:val="Heading3"/>
      </w:pPr>
      <w:r>
        <w:t>1. İmmünosenesans ve inflamaging</w:t>
      </w:r>
    </w:p>
    <w:p>
      <w:pPr>
        <w:ind w:firstLine="567"/>
      </w:pPr>
      <w:r>
        <w:rPr>
          <w:rFonts w:ascii="Times New Roman" w:hAnsi="Times New Roman"/>
          <w:sz w:val="24"/>
        </w:rPr>
        <w:t>İmmünosenesans, yaşla birlikte hem doğuştan hem edinsel immün yanıtın değişmesidir. Timik involutu, naif T hücre rezervuarının azalması, bellek hücrelerinin artması, B hücre antikor yanıtının zayıflaması ve NK hücre aktivitesinde bozulma enfeksiyonlara karşı koruyuculuğu azaltır. İnflamaging ise kronik, düşük dereceli proinflamatuar durumdur (IL-6, TNF-α, CRP artışı); enfeksiyon sırasında aşırı veya yetersiz yanıt riskini artırır</w:t>
      </w:r>
      <w:r>
        <w:rPr>
          <w:rFonts w:ascii="Times New Roman" w:hAnsi="Times New Roman"/>
          <w:sz w:val="20"/>
          <w:vertAlign w:val="superscript"/>
        </w:rPr>
        <w:t>[5]</w:t>
      </w:r>
      <w:r>
        <w:rPr>
          <w:rFonts w:ascii="Times New Roman" w:hAnsi="Times New Roman"/>
          <w:sz w:val="20"/>
          <w:vertAlign w:val="superscript"/>
        </w:rPr>
        <w:t>[6]</w:t>
      </w:r>
      <w:r>
        <w:rPr>
          <w:rFonts w:ascii="Times New Roman" w:hAnsi="Times New Roman"/>
          <w:sz w:val="24"/>
        </w:rPr>
        <w:t>. Klinik sonuç: Aşı yanıtı zayıflar; latent virüsler reaktive olabilir; viral ve bakteriyel enfeksiyonlar daha ağır seyreder.</w:t>
      </w:r>
    </w:p>
    <w:p>
      <w:pPr>
        <w:pStyle w:val="Heading3"/>
      </w:pPr>
      <w:r>
        <w:t>2. Yapısal ve fonksiyonel savunma bariyerlerinin bozulması</w:t>
      </w:r>
    </w:p>
    <w:p>
      <w:r>
        <w:rPr>
          <w:rFonts w:ascii="Times New Roman" w:hAnsi="Times New Roman"/>
          <w:b w:val="0"/>
          <w:sz w:val="24"/>
        </w:rPr>
        <w:t>• Solunum: Öksürük refleksinin zayıflaması, yutma disfonksiyonu (aspirasyon), azalmış vital kapasite.</w:t>
      </w:r>
    </w:p>
    <w:p>
      <w:r>
        <w:rPr>
          <w:rFonts w:ascii="Times New Roman" w:hAnsi="Times New Roman"/>
          <w:b w:val="0"/>
          <w:sz w:val="24"/>
        </w:rPr>
        <w:t>• Deri: İncelme, kuruma, perfüzyon bozukluğu → mikrotravma ve kolonizasyon.</w:t>
      </w:r>
    </w:p>
    <w:p>
      <w:r>
        <w:rPr>
          <w:rFonts w:ascii="Times New Roman" w:hAnsi="Times New Roman"/>
          <w:b w:val="0"/>
          <w:sz w:val="24"/>
        </w:rPr>
        <w:t>• Üriner sistem: Mesane boşaltım bozukluğu, prostat hipertrofisi, nörogen mesane, kalıcı kateter.</w:t>
      </w:r>
    </w:p>
    <w:p>
      <w:r>
        <w:rPr>
          <w:rFonts w:ascii="Times New Roman" w:hAnsi="Times New Roman"/>
          <w:b w:val="0"/>
          <w:sz w:val="24"/>
        </w:rPr>
        <w:t>• GIS: Gastrik asit sekresyonunun azalması, bağırsak mikrobiyota değişimi.</w:t>
      </w:r>
    </w:p>
    <w:p>
      <w:pPr>
        <w:pStyle w:val="Heading3"/>
      </w:pPr>
      <w:r>
        <w:t>3. Komorbid hastalıklar ve iatrogenik faktörler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Diyabet, kronik böbrek hastalığı (KBH), kalp yetmezliği, KOAH, demans, Parkinson hastalığı, malignite ve immünosupresif tedaviler enfeksiyon riskini artırır. Kateterler, cerrahi implantlar, yara pansumanı eksikliği ve UDBK yoğunluğu ek risk oluşturur.</w:t>
      </w:r>
    </w:p>
    <w:p>
      <w:pPr>
        <w:pStyle w:val="Heading3"/>
      </w:pPr>
      <w:r>
        <w:t>4. Kırılganlık (frailty) ve geriatrik sendromlar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Kırılganlık, stresörle (enfeksiyon gibi) karşılaşıldığında homeostazı koruyamama durumudur. Kırılgan yaşlıda enfeksiyon çoğu zaman deliryum, düşme, iştahsızlık, fonksiyonel gerileme ile manifest olur; klasik lokalizasyon bulgusu geç ortaya çıkabilir veya hiç görülmeyebilir.</w:t>
      </w:r>
    </w:p>
    <w:p>
      <w:pPr>
        <w:pStyle w:val="Heading3"/>
      </w:pPr>
      <w:r>
        <w:t>5. Farmakokinetik/farmakodinamik değişiklikler</w:t>
      </w:r>
    </w:p>
    <w:p>
      <w:pPr>
        <w:ind w:firstLine="567"/>
      </w:pPr>
      <w:r>
        <w:rPr>
          <w:rFonts w:ascii="Times New Roman" w:hAnsi="Times New Roman"/>
          <w:sz w:val="24"/>
        </w:rPr>
        <w:t>Yaşlıda yağ dokusu artışı, total vücut suyu azalması, karaciğer ve böbrek klirensinde azalma nedeniyle antimikrobiyal dozaj hataları sık görülür. Polifarmasi ile ilaç–ilaç etkileşimleri advers olay riskini yükseltir</w:t>
      </w:r>
      <w:r>
        <w:rPr>
          <w:rFonts w:ascii="Times New Roman" w:hAnsi="Times New Roman"/>
          <w:sz w:val="20"/>
          <w:vertAlign w:val="superscript"/>
        </w:rPr>
        <w:t>[12]</w:t>
      </w:r>
      <w:r>
        <w:rPr>
          <w:rFonts w:ascii="Times New Roman" w:hAnsi="Times New Roman"/>
          <w:sz w:val="20"/>
          <w:vertAlign w:val="superscript"/>
        </w:rPr>
        <w:t>[13]</w:t>
      </w:r>
      <w:r>
        <w:rPr>
          <w:rFonts w:ascii="Times New Roman" w:hAnsi="Times New Roman"/>
          <w:sz w:val="24"/>
        </w:rPr>
        <w:t>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1. Yaşlıda enfeksiyon riski: neden–sonuç zinciri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32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26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KLİNİK SUNUM: ATİPİK PREZENTASYON VE TANISAL TUZAKLAR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Yaşlı hastada enfeksiyon, genç hastadaki klasik tablodan farklı seyredebilir. Bu farkı bilmek, gereksiz antibiyotik kullanımını ve kaçırılan ciddi enfeksiyonları aynı anda azaltır.</w:t>
      </w:r>
    </w:p>
    <w:p>
      <w:pPr>
        <w:pStyle w:val="Heading3"/>
      </w:pPr>
      <w:r>
        <w:t>Ateş yanıtının değişkenliği</w:t>
      </w:r>
    </w:p>
    <w:p>
      <w:pPr>
        <w:ind w:firstLine="567"/>
      </w:pPr>
      <w:r>
        <w:rPr>
          <w:rFonts w:ascii="Times New Roman" w:hAnsi="Times New Roman"/>
          <w:sz w:val="24"/>
        </w:rPr>
        <w:t>Yaşlılarda ateş eşiği ≥38,3°C veya bazal sıcaklıktan ≥1,3°C artış olarak kabul edilir</w:t>
      </w:r>
      <w:r>
        <w:rPr>
          <w:rFonts w:ascii="Times New Roman" w:hAnsi="Times New Roman"/>
          <w:sz w:val="20"/>
          <w:vertAlign w:val="superscript"/>
        </w:rPr>
        <w:t>[2]</w:t>
      </w:r>
      <w:r>
        <w:rPr>
          <w:rFonts w:ascii="Times New Roman" w:hAnsi="Times New Roman"/>
          <w:sz w:val="24"/>
        </w:rPr>
        <w:t xml:space="preserve">. Ciddi bakteriyel enfeksiyonlarda ateşsiz seyir (%50–65) sık görülür; hipotermi kötü prognoz işareti olabilir </w:t>
      </w:r>
      <w:r>
        <w:rPr>
          <w:rFonts w:ascii="Times New Roman" w:hAnsi="Times New Roman"/>
          <w:sz w:val="20"/>
          <w:vertAlign w:val="superscript"/>
        </w:rPr>
        <w:t>[7]</w:t>
      </w:r>
      <w:r>
        <w:rPr>
          <w:rFonts w:ascii="Times New Roman" w:hAnsi="Times New Roman"/>
          <w:sz w:val="24"/>
        </w:rPr>
        <w:t>. Ateş tek başına tanı veya tedavi kriteri değildir.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Tablo 2. Geriatrik sendromlar ve olası enfeksiyon odağı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Atipik bulgu</w:t>
            </w:r>
          </w:p>
        </w:tc>
        <w:tc>
          <w:tcPr>
            <w:tcW w:type="dxa" w:w="2551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Olası odak</w:t>
            </w:r>
          </w:p>
        </w:tc>
        <w:tc>
          <w:tcPr>
            <w:tcW w:type="dxa" w:w="3402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Dikkat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Yeni deliryum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İYE, pnömoni, sepsis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Tek başına İYE tanısı için yeterli değil</w:t>
            </w:r>
          </w:p>
        </w:tc>
      </w:tr>
      <w:tr>
        <w:tc>
          <w:tcPr>
            <w:tcW w:type="dxa" w:w="2268"/>
            <w:shd w:fill="EDF2F9" w:val="clear"/>
          </w:tcPr>
          <w:p>
            <w:r>
              <w:rPr>
                <w:sz w:val="20"/>
              </w:rPr>
              <w:t>Düşme / immobilite</w:t>
            </w:r>
          </w:p>
        </w:tc>
        <w:tc>
          <w:tcPr>
            <w:tcW w:type="dxa" w:w="2551"/>
            <w:shd w:fill="EDF2F9" w:val="clear"/>
          </w:tcPr>
          <w:p>
            <w:r>
              <w:rPr>
                <w:sz w:val="20"/>
              </w:rPr>
              <w:t>Sistemik enfeksiyon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Mekanik düşme sanılabilir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İştahsızlık, halsizlik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Solunum yolu, İYE, sepsis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Depresyon sanılmamalı</w:t>
            </w:r>
          </w:p>
        </w:tc>
      </w:tr>
      <w:tr>
        <w:tc>
          <w:tcPr>
            <w:tcW w:type="dxa" w:w="2268"/>
            <w:shd w:fill="EDF2F9" w:val="clear"/>
          </w:tcPr>
          <w:p>
            <w:r>
              <w:rPr>
                <w:sz w:val="20"/>
              </w:rPr>
              <w:t>İdrar inkontinansı</w:t>
            </w:r>
          </w:p>
        </w:tc>
        <w:tc>
          <w:tcPr>
            <w:tcW w:type="dxa" w:w="2551"/>
            <w:shd w:fill="EDF2F9" w:val="clear"/>
          </w:tcPr>
          <w:p>
            <w:r>
              <w:rPr>
                <w:sz w:val="20"/>
              </w:rPr>
              <w:t>İYE (destekleyici)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Asimptomatik bakteriüri ile karışmamalı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Kronik hastalık alevlenmesi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Altta yatan enfeksiyon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KOAH, KY, diyabet dekompansasyonu</w:t>
            </w:r>
          </w:p>
        </w:tc>
      </w:tr>
    </w:tbl>
    <w:p/>
    <w:p>
      <w:pPr>
        <w:pStyle w:val="Heading3"/>
      </w:pPr>
      <w:r>
        <w:t>Sık tanı hataları</w:t>
      </w:r>
    </w:p>
    <w:p>
      <w:r>
        <w:rPr>
          <w:rFonts w:ascii="Times New Roman" w:hAnsi="Times New Roman"/>
          <w:sz w:val="24"/>
        </w:rPr>
        <w:t>1. Asimptomatik bakteriüriyi İYE sanmak: Antibiyotik endikasyonu semptom gerektirir.</w:t>
      </w:r>
      <w:r>
        <w:rPr>
          <w:rFonts w:ascii="Times New Roman" w:hAnsi="Times New Roman"/>
          <w:sz w:val="20"/>
          <w:vertAlign w:val="superscript"/>
        </w:rPr>
        <w:t>[9]</w:t>
      </w:r>
    </w:p>
    <w:p>
      <w:r>
        <w:rPr>
          <w:rFonts w:ascii="Times New Roman" w:hAnsi="Times New Roman"/>
          <w:sz w:val="24"/>
        </w:rPr>
        <w:t>2. Deliryumu otomatik İYE kabul etmek: Mental durum değişikliği tek başına güvenilir değildir.</w:t>
      </w:r>
      <w:r>
        <w:rPr>
          <w:rFonts w:ascii="Times New Roman" w:hAnsi="Times New Roman"/>
          <w:sz w:val="20"/>
          <w:vertAlign w:val="superscript"/>
        </w:rPr>
        <w:t>[8]</w:t>
      </w:r>
    </w:p>
    <w:p>
      <w:r>
        <w:rPr>
          <w:rFonts w:ascii="Times New Roman" w:hAnsi="Times New Roman"/>
          <w:sz w:val="24"/>
        </w:rPr>
        <w:t>3. Pozitif kültürü enfeksiyon saymak: Kolonizasyon ve kontaminasyon ayırt edilmeli.</w:t>
      </w:r>
      <w:r>
        <w:rPr>
          <w:rFonts w:ascii="Times New Roman" w:hAnsi="Times New Roman"/>
          <w:sz w:val="20"/>
          <w:vertAlign w:val="superscript"/>
        </w:rPr>
        <w:t>[1]</w:t>
      </w:r>
    </w:p>
    <w:p>
      <w:r>
        <w:rPr>
          <w:rFonts w:ascii="Times New Roman" w:hAnsi="Times New Roman"/>
          <w:sz w:val="24"/>
        </w:rPr>
        <w:t>4. qSOFA’yı tek tarama aracı kullanmak: Yaşlıda duyarlılık sınırlıdır; NEWS/NEWS2 destekleyicidir.</w:t>
      </w:r>
      <w:r>
        <w:rPr>
          <w:rFonts w:ascii="Times New Roman" w:hAnsi="Times New Roman"/>
          <w:sz w:val="20"/>
          <w:vertAlign w:val="superscript"/>
        </w:rPr>
        <w:t>[4]</w:t>
      </w:r>
    </w:p>
    <w:p>
      <w:pPr>
        <w:pStyle w:val="Heading2"/>
      </w:pPr>
      <w:r>
        <w:t>TANISAL YAKLAŞIM: ALGORİTMİK ÇERÇEVE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Yaşlıda enfeksiyon tanısı, “enfeksiyon var mı?” ile “hangi odak?” sorularının ayrı adımlarda yanıtlanmasını gerektirir </w:t>
      </w:r>
      <w:r>
        <w:rPr>
          <w:rFonts w:ascii="Times New Roman" w:hAnsi="Times New Roman"/>
          <w:sz w:val="20"/>
          <w:vertAlign w:val="superscript"/>
        </w:rPr>
        <w:t>[1]</w:t>
      </w:r>
      <w:r>
        <w:rPr>
          <w:rFonts w:ascii="Times New Roman" w:hAnsi="Times New Roman"/>
          <w:sz w:val="20"/>
          <w:vertAlign w:val="superscript"/>
        </w:rPr>
        <w:t>[3]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</w:pPr>
      <w:r>
        <w:t>Adım 1: Baseline değişiklik var mı?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Son 24–72 saatte vital bulgu değişimi, yeni deliryum, fonksiyonel gerileme, düşme, inkontinans artışı veya kronik hastalıkta açıklanamayan kötüleşme varsa yüksek indeksli değerlendirme başlatılır.</w:t>
      </w:r>
    </w:p>
    <w:p>
      <w:pPr>
        <w:pStyle w:val="Heading3"/>
      </w:pPr>
      <w:r>
        <w:t>Adım 2: Aciliyet sınıflaması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2. Tanısal yaklaşım: aciliyet sınıflaması algoritması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5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52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567"/>
      </w:pPr>
      <w:r>
        <w:rPr>
          <w:rFonts w:ascii="Times New Roman" w:hAnsi="Times New Roman"/>
          <w:b w:val="0"/>
          <w:sz w:val="24"/>
        </w:rPr>
        <w:t>Septik şok veya hemodinamik instabilitede acil stabilizasyon, kan/kültür, görüntüleme ve 1 saat içinde empirik geniş spektrum antibiyotik başlanır. Orta-ağır sistemik bulguda (NEWS/NEWS2 yükselmiş, laktat artmış, AKI) hastane yatışı değerlendirilir; hedefe yönelik örnek alınır; empirik tedavi 3 saat içinde başlatılır. Stabil ve lokalize bulgularda ayaktan veya yarı yatarak yönetim ile sistematik odak taraması yapılır.</w:t>
      </w:r>
    </w:p>
    <w:p>
      <w:pPr>
        <w:pStyle w:val="Heading3"/>
      </w:pPr>
      <w:r>
        <w:t>Adım 3: Odak arama (bedside sistematik tarama)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Baş–boyun (oral/diş, fasiyal selülit) | Solunum (taşipne, hipoksemi, ral) | Kardiyovasküler (yeni üfürüm, perfüzyon) | Abdomen (divertikülit, kolitis) | Genitoüriner (dizüri, retansiyon) | Deri-yumuşak doku (dekubitus, selülit, diyabetik ayak) | Kateter/cihaz | Sinir sistemi (menenjit bulguları, atipik olabilir).</w:t>
      </w:r>
    </w:p>
    <w:p>
      <w:pPr>
        <w:pStyle w:val="Heading3"/>
      </w:pPr>
      <w:r>
        <w:t>Adım 4: Laboratuvar ve görüntüleme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Temel panel (endikasyona göre): tam kan sayımı, CRP/prokalsitonin (yorum dikkatli), böbrek/karaciğer fonksiyonları, elektrolitler, laktat (sepsis şüphesi), idrar analizi. Kültür prensibi: tedavi başlamadan önce kan kültürü (sepsis şüphesi); odak odaklı örnekler (idrar, balgam, yara aspirasyonu). Kontaminasyonu azaltmak için uygun alım tekniği şarttır. İYE tanısında: lokalizasyon bulgusu → piyüri → kültür. Piyüri (−) ise İYE olasılığı düşüktür (NPV &gt;%95) </w:t>
      </w:r>
      <w:r>
        <w:rPr>
          <w:rFonts w:ascii="Times New Roman" w:hAnsi="Times New Roman"/>
          <w:sz w:val="20"/>
          <w:vertAlign w:val="superscript"/>
        </w:rPr>
        <w:t>[1]</w:t>
      </w:r>
      <w:r>
        <w:rPr>
          <w:rFonts w:ascii="Times New Roman" w:hAnsi="Times New Roman"/>
          <w:sz w:val="20"/>
          <w:vertAlign w:val="superscript"/>
        </w:rPr>
        <w:t>[3]</w:t>
      </w:r>
      <w:r>
        <w:rPr>
          <w:rFonts w:ascii="Times New Roman" w:hAnsi="Times New Roman"/>
          <w:sz w:val="24"/>
        </w:rPr>
        <w:t>. Görüntüleme: pnömoni şüphesinde göğüs grafisi; komplike İYE/abdominal odakta USG/BT; endokardit şüphesinde ekokardiyografi.</w:t>
      </w:r>
    </w:p>
    <w:p>
      <w:pPr>
        <w:pStyle w:val="Heading3"/>
      </w:pPr>
      <w:r>
        <w:t>Adım 5: Alternatif tanıları dışla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Metabolik bozukluk, ilaç yan etkisi, akut koroner sendrom, inme, subdural hematom, idrar retansiyonu, kabızlık, ağrı ve depresyon ayırıcı tanıda düşünülmelidir.</w:t>
      </w:r>
    </w:p>
    <w:p>
      <w:pPr>
        <w:pStyle w:val="Heading2"/>
      </w:pPr>
      <w:r>
        <w:t>TEDAVİ YAKLAŞIMI: ALGORİTMİK VE BİREYSELLEŞTİRİLMİŞ YÖNETİM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Tedavi kararı dört eksende verilir: (1) Enfeksiyon ciddiyeti ve odak, (2) Hasta kırılganlığı, (3) Komorbid hastalıklar ve polifarmasi, (4) Hasta hedefleri / bakım planı (ACP).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Yaşlıda empirik tedavi standart rehber dozu ile başlamaz; önce komorbidite filtresi uygulanır </w:t>
      </w:r>
      <w:r>
        <w:rPr>
          <w:rFonts w:ascii="Times New Roman" w:hAnsi="Times New Roman"/>
          <w:sz w:val="20"/>
          <w:vertAlign w:val="superscript"/>
        </w:rPr>
        <w:t>[11]</w:t>
      </w:r>
      <w:r>
        <w:rPr>
          <w:rFonts w:ascii="Times New Roman" w:hAnsi="Times New Roman"/>
          <w:sz w:val="20"/>
          <w:vertAlign w:val="superscript"/>
        </w:rPr>
        <w:t>[12]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</w:pPr>
      <w:r>
        <w:t>Aşama 0: Tedavi öncesi zorunlu tarama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Tablo 3. Tedavi öncesi komorbidite ve ilaç tarama kontrol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2438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Bakılacak</w:t>
            </w:r>
          </w:p>
        </w:tc>
        <w:tc>
          <w:tcPr>
            <w:tcW w:type="dxa" w:w="3402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Tedaviyi nasıl değiştirir?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Böbrek fonksiyonu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eGFR, idrar çıkışı, diyaliz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Doz ayarı; nefrotoksik ilaçlardan kaçın</w:t>
            </w:r>
          </w:p>
        </w:tc>
      </w:tr>
      <w:tr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Kalp yetmezliği</w:t>
            </w:r>
          </w:p>
        </w:tc>
        <w:tc>
          <w:tcPr>
            <w:tcW w:type="dxa" w:w="2438"/>
            <w:shd w:fill="EDF2F9" w:val="clear"/>
          </w:tcPr>
          <w:p>
            <w:r>
              <w:rPr>
                <w:sz w:val="20"/>
              </w:rPr>
              <w:t>EF, volüm, BNP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Sıvı stratejisi; kardiyotoksik ilaçlardan kaçın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KOAH / astım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O₂, steroid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Solunum desteği; makrolid etkileşimi</w:t>
            </w:r>
          </w:p>
        </w:tc>
      </w:tr>
      <w:tr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Diyabet</w:t>
            </w:r>
          </w:p>
        </w:tc>
        <w:tc>
          <w:tcPr>
            <w:tcW w:type="dxa" w:w="2438"/>
            <w:shd w:fill="EDF2F9" w:val="clear"/>
          </w:tcPr>
          <w:p>
            <w:r>
              <w:rPr>
                <w:sz w:val="20"/>
              </w:rPr>
              <w:t>HbA1c, OAD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Glisemi; SGLT2i ile euglise riski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Karaciğer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Child-Pugh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Hepatotoksik ilaçlardan kaçın</w:t>
            </w:r>
          </w:p>
        </w:tc>
      </w:tr>
      <w:tr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Antikoagülan</w:t>
            </w:r>
          </w:p>
        </w:tc>
        <w:tc>
          <w:tcPr>
            <w:tcW w:type="dxa" w:w="2438"/>
            <w:shd w:fill="EDF2F9" w:val="clear"/>
          </w:tcPr>
          <w:p>
            <w:r>
              <w:rPr>
                <w:sz w:val="20"/>
              </w:rPr>
              <w:t>Varfarin, DOAC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TMP-SMX, makrolid etkileşimi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QT uzaması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EKG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Makrolid, kinolon, azol dikkat</w:t>
            </w:r>
          </w:p>
        </w:tc>
      </w:tr>
      <w:tr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CDI öyküsü</w:t>
            </w:r>
          </w:p>
        </w:tc>
        <w:tc>
          <w:tcPr>
            <w:tcW w:type="dxa" w:w="2438"/>
            <w:shd w:fill="EDF2F9" w:val="clear"/>
          </w:tcPr>
          <w:p>
            <w:r>
              <w:rPr>
                <w:sz w:val="20"/>
              </w:rPr>
              <w:t>Son kolit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4C antibiyotiklerden kaçın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Demans/deliryum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4AT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Deliryum önleyici bakım</w:t>
            </w:r>
          </w:p>
        </w:tc>
      </w:tr>
      <w:tr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İmmünosupresyon</w:t>
            </w:r>
          </w:p>
        </w:tc>
        <w:tc>
          <w:tcPr>
            <w:tcW w:type="dxa" w:w="2438"/>
            <w:shd w:fill="EDF2F9" w:val="clear"/>
          </w:tcPr>
          <w:p>
            <w:r>
              <w:rPr>
                <w:sz w:val="20"/>
              </w:rPr>
              <w:t>Steroid, biyolojik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Genişletilmiş empirisi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Prostat/BPH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Retansiyon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İdrar boşaltımı öncelikli</w:t>
            </w:r>
          </w:p>
        </w:tc>
      </w:tr>
      <w:tr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Polifarmasi</w:t>
            </w:r>
          </w:p>
        </w:tc>
        <w:tc>
          <w:tcPr>
            <w:tcW w:type="dxa" w:w="2438"/>
            <w:shd w:fill="EDF2F9" w:val="clear"/>
          </w:tcPr>
          <w:p>
            <w:r>
              <w:rPr>
                <w:sz w:val="20"/>
              </w:rPr>
              <w:t>≥5 ilaç</w:t>
            </w:r>
          </w:p>
        </w:tc>
        <w:tc>
          <w:tcPr>
            <w:tcW w:type="dxa" w:w="3402"/>
            <w:shd w:fill="EDF2F9" w:val="clear"/>
          </w:tcPr>
          <w:p>
            <w:r>
              <w:rPr>
                <w:sz w:val="20"/>
              </w:rPr>
              <w:t>Etkileşim taraması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3. Antibiyotik başlama kararı algoritması (Aşama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5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52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10. Antibiyotik başlama kararı – metin algoritması (Aşama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8FC" w:val="clear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sz w:val="18"/>
              </w:rPr>
              <w:t>Enfeksiyon olasılığı değerlendirildi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DÜŞÜK → Antibiyotik BAŞLAMA; alternatif nedenleri tedavi et; 24–48 saatte yeniden değerlendir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ORTA + stabil → Aşama 0 tamamla; kültür al; Aşama 2+3; 48–72 saatte de-eskale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YÜKSEK / SEPSİS → Acil stabilizasyon; kan kültürü; geniş spektrum ≤1 sa (şok); de-eskale</w:t>
            </w:r>
          </w:p>
        </w:tc>
      </w:tr>
    </w:tbl>
    <w:p/>
    <w:p>
      <w:pPr>
        <w:ind w:firstLine="567"/>
      </w:pPr>
      <w:r>
        <w:rPr>
          <w:rFonts w:ascii="Times New Roman" w:hAnsi="Times New Roman"/>
          <w:sz w:val="24"/>
        </w:rPr>
        <w:t xml:space="preserve">Niçin bireyselleştirme? Kırılgan yaşlıda tedavi etmeme deliryum/sepsis riski taşır; standart reçete ise C. difficile, AKI, aritmi ve kanama riskini artırır </w:t>
      </w:r>
      <w:r>
        <w:rPr>
          <w:rFonts w:ascii="Times New Roman" w:hAnsi="Times New Roman"/>
          <w:sz w:val="20"/>
          <w:vertAlign w:val="superscript"/>
        </w:rPr>
        <w:t>[11]</w:t>
      </w:r>
      <w:r>
        <w:rPr>
          <w:rFonts w:ascii="Times New Roman" w:hAnsi="Times New Roman"/>
          <w:sz w:val="20"/>
          <w:vertAlign w:val="superscript"/>
        </w:rPr>
        <w:t>[12]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</w:pPr>
      <w:r>
        <w:t>Aşama 2: Enfeksiyon odağına göre empirik seçim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Bu aşamada genel rehber seçimi yapılır; bir sonraki aşamada komorbiditeye göre değiştirilir.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4. Enfeksiyon odağına göre empirik antibiyotik seçimi (Aşama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326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26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 w:val="0"/>
          <w:sz w:val="24"/>
        </w:rPr>
        <w:t>• Üst solunum yolu (viral olasılık yüksek, stabil): Semptomatik tedavi; antibiyotik genellikle gerekmez. İstisna: bakteriyel süperenfeksiyon, KOAH alevlenmesi.</w:t>
      </w:r>
    </w:p>
    <w:p>
      <w:r>
        <w:rPr>
          <w:rFonts w:ascii="Times New Roman" w:hAnsi="Times New Roman"/>
          <w:b w:val="0"/>
          <w:sz w:val="24"/>
        </w:rPr>
        <w:t>• Alt solunum yolu / pnömoni: Toplum kökenli → amoksisilin veya respiratuvar kinolon (KY/KBH/QT varsa değiştir). Hastane/UDBK kökenli → anti-pseudomonal β-laktam ± vankomisin.</w:t>
      </w:r>
    </w:p>
    <w:p>
      <w:r>
        <w:rPr>
          <w:rFonts w:ascii="Times New Roman" w:hAnsi="Times New Roman"/>
          <w:b w:val="0"/>
          <w:sz w:val="24"/>
        </w:rPr>
        <w:t>• İYE (semptomatik, komplike değil): TMP-SMX veya nitrofurantoin (eGFR uygunsa) veya fosfomisin. eGFR &lt;30: nitrofurantoin kullanılmaz.</w:t>
      </w:r>
    </w:p>
    <w:p>
      <w:r>
        <w:rPr>
          <w:rFonts w:ascii="Times New Roman" w:hAnsi="Times New Roman"/>
          <w:b w:val="0"/>
          <w:sz w:val="24"/>
        </w:rPr>
        <w:t>• Komplike İYE / piyelonefrit: Sefalosporin veya piperasilin-tazobaktam. CDI öyküsünde sefalosporin değiştirilir.</w:t>
      </w:r>
    </w:p>
    <w:p>
      <w:r>
        <w:rPr>
          <w:rFonts w:ascii="Times New Roman" w:hAnsi="Times New Roman"/>
          <w:b w:val="0"/>
          <w:sz w:val="24"/>
        </w:rPr>
        <w:t>• Deri-yumuşak doku: Sefazolin/dikloksasilin; MRSA riskinde TMP-SMX, doksisiklin veya vankomisin.</w:t>
      </w:r>
    </w:p>
    <w:p>
      <w:r>
        <w:rPr>
          <w:rFonts w:ascii="Times New Roman" w:hAnsi="Times New Roman"/>
          <w:b w:val="0"/>
          <w:sz w:val="24"/>
        </w:rPr>
        <w:t>• İntra-abdominal / divertikülit: Metronidazol + sefalosporin veya piperasilin-tazobaktam.</w:t>
      </w:r>
    </w:p>
    <w:p>
      <w:r>
        <w:rPr>
          <w:rFonts w:ascii="Times New Roman" w:hAnsi="Times New Roman"/>
          <w:b w:val="0"/>
          <w:sz w:val="24"/>
        </w:rPr>
        <w:t>• Sepsis (odak belirsiz): Meropenem veya piperasilin-tazobaktam + vankomisin; kaynak kontrolü planlanır.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Genel ilkeler (tüm odaklar için): Yerel antibiyograma uyum; dar spektrum ve kısa süre (5–7 gün); 48–72 saatte de-eskale; polifarmasi etkileşim kontrolü.</w:t>
      </w:r>
    </w:p>
    <w:p>
      <w:pPr>
        <w:pStyle w:val="Heading3"/>
      </w:pPr>
      <w:r>
        <w:t>Aşama 3: Komorbidite filtresi — standart reçeteyi değiştir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Empirik seçim yapıldıktan sonra her komorbidite için aşağıdaki dallanma uygulanır. Birden fazla komorbidite varsa en kısıtlayıcı kural önceliklidir.</w:t>
      </w:r>
    </w:p>
    <w:p>
      <w:pPr>
        <w:pStyle w:val="Heading3"/>
      </w:pPr>
      <w:r>
        <w:t>3A. Böbrek yetmezliği / KBH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eGFR 30–59 arasında vankomisin, acyclovir ve β-laktam dozları azaltılmalı; nitrofurantoin ve aminoglikozidlerden kaçınılmalıdır. eGFR &lt;30 veya diyalizde nitrofurantoin kullanılmaz; TMP-SMX genellikle kaçınılır (hiperkalemi, kemik iliği baskılanması). Kinolon doz ayarı yapılır ancak QT/KY birlikteliğinde tercih edilmez. Geçici AKI’de nefrotoksikler durdurulur, volüm resüsitasyonu sonrası doz yeniden hesaplanır </w:t>
      </w:r>
      <w:r>
        <w:rPr>
          <w:rFonts w:ascii="Times New Roman" w:hAnsi="Times New Roman"/>
          <w:sz w:val="20"/>
          <w:vertAlign w:val="superscript"/>
        </w:rPr>
        <w:t>[11]</w:t>
      </w:r>
      <w:r>
        <w:rPr>
          <w:rFonts w:ascii="Times New Roman" w:hAnsi="Times New Roman"/>
          <w:sz w:val="20"/>
          <w:vertAlign w:val="superscript"/>
        </w:rPr>
        <w:t>[12]</w:t>
      </w:r>
      <w:r>
        <w:rPr>
          <w:rFonts w:ascii="Times New Roman" w:hAnsi="Times New Roman"/>
          <w:sz w:val="24"/>
        </w:rPr>
        <w:t>. Tercih: ceftriaxone, amoksisilin-klavulanat, meropenem, linezolid.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5. Böbrek yetmezliğinde antibiyotik seçimi (Aşama 3A)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8FC" w:val="clear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sz w:val="18"/>
              </w:rPr>
              <w:t>KBH (eGFR düşük / diyaliz):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eGFR 30–59: doz azalt; nitrofurantoin KAÇIN; aminoglikozid KAÇIN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eGFR &lt;30: nitrofurantoin KULLANMA; TMP-SMX genellikle KAÇIN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Tercih: ceftriaxone, amoksisilin-klavulanat, meropenem, linezolid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Geçici AKI: nefrotoksikleri durdur; volüm sonrası dozu yeniden hesapla</w:t>
            </w:r>
          </w:p>
        </w:tc>
      </w:tr>
    </w:tbl>
    <w:p/>
    <w:p>
      <w:pPr>
        <w:pStyle w:val="Heading3"/>
      </w:pPr>
      <w:r>
        <w:t>3B. Kalp yetmezliği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KY’li yaşlıda pnömoni/sepsis mortalitesi yüksektir; fakat 30 mL/kg agresif kristalloid bolus genellikle uygun değildir. Küçük alıkverişli bolus (250–500 mL) ve dinamik yanıt (POCUS, BNP, JVP) önerilir. Hipotansiyonda erken noradrenalin; diüretik geçici kesilir. Makrolid ve kinolon QT riski nedeniyle kaçınılır </w:t>
      </w:r>
      <w:r>
        <w:rPr>
          <w:rFonts w:ascii="Times New Roman" w:hAnsi="Times New Roman"/>
          <w:sz w:val="20"/>
          <w:vertAlign w:val="superscript"/>
        </w:rPr>
        <w:t>[4]</w:t>
      </w:r>
      <w:r>
        <w:rPr>
          <w:rFonts w:ascii="Times New Roman" w:hAnsi="Times New Roman"/>
          <w:sz w:val="20"/>
          <w:vertAlign w:val="superscript"/>
        </w:rPr>
        <w:t>[10]</w:t>
      </w:r>
      <w:r>
        <w:rPr>
          <w:rFonts w:ascii="Times New Roman" w:hAnsi="Times New Roman"/>
          <w:sz w:val="24"/>
        </w:rPr>
        <w:t>. Aşırı sıvı pulmoner ödem, deliryum ve KY alevlenmesi yapabilir.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6. Kalp yetmezliğinde enfeksiyon tedavisi (Aşama 3B)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8FC" w:val="clear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sz w:val="18"/>
              </w:rPr>
              <w:t>KALP YETMEZLİĞİ: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Sepsis: 30 mL/kg bolus UYGUN DEĞİL → 250–500 mL + dinamik yanıt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Hipotansiyon: erken noradrenalin; diüretiği geçici kes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Antibiyotik: makrolid/kinolon QT → KAÇIN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 xml:space="preserve">  Tercih: amoksisilin, sefalosporin, doksisiklin, linezolid</w:t>
            </w:r>
          </w:p>
        </w:tc>
      </w:tr>
    </w:tbl>
    <w:p/>
    <w:p>
      <w:pPr>
        <w:pStyle w:val="Heading3"/>
      </w:pPr>
      <w:r>
        <w:t>3C. KOAH / kronik solunum hastalığı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Pnömoni/KOAH alevlenmesinde SpO₂ hedefi 88–92% olmalı; bronkodilatatör ve steroid protokolü uygulanır. Antibiyotik endikasyonu purulan balgam ve artan dispne ile birlikte değerlendirilir. Teofilin kullanan hastada makrolid/kinolon teofilin toksisitesi yapabilir; düzey izlenmelidir. Sepsiste non-invaziv ventilasyon erken düşünülmeli; sedasyon minimal tutulmalıdır (CO₂ retansiyonu, deliryum).</w:t>
      </w:r>
    </w:p>
    <w:p>
      <w:pPr>
        <w:pStyle w:val="Heading3"/>
      </w:pPr>
      <w:r>
        <w:t>3D. Diyabet mellitus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Her enfeksiyonda ayak muayenesi zorunludur; diyabetik ayak enfeksiyonu atlanmamalıdır. Enfeksiyon hiperglisemi yapar; glisemi sık izlenir. Sepsis, AKI veya kontrast varsa metformin geçici durdurulur (laktik asidoz riski). SGLT2 inhibitörleri euglise riski nedeniyle sepsis/cerrahi döneminde durdurulur. Kinolon hipoglisemi ve tendinit riski taşır; alternatif tercih edilir. Diyabetik ayak enfeksiyonunda iskemi değerlendirilir; MRSA + anaerob cover, cerrahi debridman ve vasküler konsültasyon gerekebilir.</w:t>
      </w:r>
    </w:p>
    <w:p>
      <w:pPr>
        <w:pStyle w:val="Heading3"/>
      </w:pPr>
      <w:r>
        <w:t>3E. Karaciğer hastalığı / siroz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Child-Pugh B–C hastada izoniazid, ketokonazol ve eritromisin hepatotoksisite riski nedeniyle kaçınılır. Sefalosporinler genellikle güvenlidir. Spontan bakteriyel peritonit şüphesinde sefalosporin 3. kuşak + albümin protokolü uygulanır. Sirozlu hastada sık varfarin kullanımı nedeniyle TMP-SMX, metronidazol ve makrolid INR artışına yol açabilir.</w:t>
      </w:r>
    </w:p>
    <w:p>
      <w:pPr>
        <w:pStyle w:val="Heading3"/>
      </w:pPr>
      <w:r>
        <w:t>3F. Antikoagülan / kanama riski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Varfarin ile TMP-SMX ciddi INR artışı yapar; alternatif tercih edilmeli veya sık INR izlenmelidir. Metronidazol ve makrolidler de etkileşim gösterir. DOAC kullanan hastada TMP-SMX, ketokonazol ve makrolid plazma düzeyini artırır. Linezolid trombositopeni yapabilir; düşük trombosit veya aktif kanamada kaçınılır </w:t>
      </w:r>
      <w:r>
        <w:rPr>
          <w:rFonts w:ascii="Times New Roman" w:hAnsi="Times New Roman"/>
          <w:sz w:val="20"/>
          <w:vertAlign w:val="superscript"/>
        </w:rPr>
        <w:t>[12]</w:t>
      </w:r>
      <w:r>
        <w:rPr>
          <w:rFonts w:ascii="Times New Roman" w:hAnsi="Times New Roman"/>
          <w:sz w:val="20"/>
          <w:vertAlign w:val="superscript"/>
        </w:rPr>
        <w:t>[13]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</w:pPr>
      <w:r>
        <w:t>3G. QT uzaması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EKG’de QTc &gt;500 ms, amiodaron/sotalol kullanımı veya elektrolit bozukluğunda makrolid, kinolon ve azol antifungaller kaçınılır. Tercih: β-laktam, doksisiklin, linezolid. Mg/K düzeltilir; EKG tekrarlanır.</w:t>
      </w:r>
    </w:p>
    <w:p>
      <w:pPr>
        <w:pStyle w:val="Heading3"/>
      </w:pPr>
      <w:r>
        <w:t>3H. C. difficile öyküsü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Son antibiyotik, PPI ve hospitalizasyon öyküsü olan hastada 4C grubundan (co-amoksislav, kinolonlar, 3. kuşak sefalosporinler, klindamisin) kaçınılır. Tercih: amoksisilin (klavulanatsız), doksisiklin, linezolid. Oral vankomisin profilaksisi rutin değildir.</w:t>
      </w:r>
    </w:p>
    <w:p>
      <w:pPr>
        <w:pStyle w:val="Heading3"/>
      </w:pPr>
      <w:r>
        <w:t>3I. Demans, deliryum, Parkinson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Deliryum önleyici bakım paketi (görme/işitme desteği, mobilizasyon, uyku hijyeni) uygulanır. Kinolon deliryum riskini artırır. Parkinson hastasında metoklopramid ve proklorperazin kesinlikle kaçınılır; levodopa kesilmemelidir </w:t>
      </w:r>
      <w:r>
        <w:rPr>
          <w:rFonts w:ascii="Times New Roman" w:hAnsi="Times New Roman"/>
          <w:sz w:val="20"/>
          <w:vertAlign w:val="superscript"/>
        </w:rPr>
        <w:t>[8]</w:t>
      </w:r>
      <w:r>
        <w:rPr>
          <w:rFonts w:ascii="Times New Roman" w:hAnsi="Times New Roman"/>
          <w:sz w:val="20"/>
          <w:vertAlign w:val="superscript"/>
        </w:rPr>
        <w:t>[11]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</w:pPr>
      <w:r>
        <w:t>3J. İmmünosupresyon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Ateşsiz ciddi enfeksiyon olabilir; düşük eşikle değerlendirme yapılır. Genişletilmiş empirisi düşünülür (pseudomonas, fungus). Nötropenide febril nötropeni protokolü (piperasilin-tazobaktam ± vankomisin) uygulanır. Canlı aşılar tedavi süresince kontrendikedir.</w:t>
      </w:r>
    </w:p>
    <w:p>
      <w:pPr>
        <w:pStyle w:val="Heading3"/>
      </w:pPr>
      <w:r>
        <w:t>3K. Prostat hipertrofisi / idrar retansiyonu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Enfeksiyon tedavisinden önce idrar retansiyonu giderilmelidir (kateter/sonda). Antikolinergik ilaçlar geçici kesilir. Kalıcı kateter enfeksiyon kaynağı olabilir; çıkar/değiştir planı yapılır.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7. Komorbidite modifikasyonları özet şeması (Aşama 3C–3K)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8FC" w:val="clear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sz w:val="18"/>
              </w:rPr>
              <w:t>ÖZET — Diğer komorbiditeler (3C–3K):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>KOAH: SpO₂ 88–92%; NIV; teofilin etkileşimi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>DİYABET: ayak muayenesi; metformin/SGLT2i durdur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>ANTİKOAGÜLAN: TMP-SMX/makrolid → INR/kanama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>QT: makrolid, kinolon, azol KAÇIN</w:t>
            </w:r>
          </w:p>
          <w:p>
            <w:pPr>
              <w:spacing w:line="240" w:lineRule="auto" w:after="0"/>
            </w:pPr>
            <w:r>
              <w:rPr>
                <w:rFonts w:ascii="Consolas" w:hAnsi="Consolas"/>
                <w:sz w:val="18"/>
              </w:rPr>
              <w:t>CDI: 4C grubu KAÇIN | PARKİNSON: metoklopramid YASAK</w:t>
            </w:r>
          </w:p>
        </w:tc>
      </w:tr>
    </w:tbl>
    <w:p/>
    <w:p>
      <w:pPr>
        <w:pStyle w:val="Heading3"/>
      </w:pPr>
      <w:r>
        <w:t>Aşama 4: Birleşik komorbidite algoritması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Birden fazla komorbiditesi olan tipik yaşlı hasta için antibiyotik seçimi aşağıdaki adımlarla yürütülür:</w:t>
      </w:r>
    </w:p>
    <w:p>
      <w:r>
        <w:rPr>
          <w:rFonts w:ascii="Times New Roman" w:hAnsi="Times New Roman"/>
          <w:b w:val="0"/>
          <w:sz w:val="24"/>
        </w:rPr>
        <w:t>Adım 1 — Acil tehlike (septik şok, ciddi hipoksi, menenjit): Geniş spektrum hemen; komorbidite doz/ilaç düzeltmesi sonraki 24 saatte.</w:t>
      </w:r>
    </w:p>
    <w:p>
      <w:r>
        <w:rPr>
          <w:rFonts w:ascii="Times New Roman" w:hAnsi="Times New Roman"/>
          <w:b w:val="0"/>
          <w:sz w:val="24"/>
        </w:rPr>
        <w:t>Adım 2 — Mutlak kaçınılacaklar: CDI öyküsü → 4C çıkar; eGFR &lt;30 → nitrofurantoin/aminoglikozid çıkar; QT → makrolid/kinolon çıkar; antikoagülan → TMP-SMX/makrolid dikkat; Parkinson → metoklopramid yasak.</w:t>
      </w:r>
    </w:p>
    <w:p>
      <w:r>
        <w:rPr>
          <w:rFonts w:ascii="Times New Roman" w:hAnsi="Times New Roman"/>
          <w:b w:val="0"/>
          <w:sz w:val="24"/>
        </w:rPr>
        <w:t>Adım 3 — Odak-spesifik tercih (Aşama 2).</w:t>
      </w:r>
    </w:p>
    <w:p>
      <w:r>
        <w:rPr>
          <w:rFonts w:ascii="Times New Roman" w:hAnsi="Times New Roman"/>
          <w:b w:val="0"/>
          <w:sz w:val="24"/>
        </w:rPr>
        <w:t>Adım 4 — Komorbidite modifikasyonu: KBH+İYE → fosfomisin/amoksisilin; KBH+sepsis → meropenem; KY+pnömoni → amoksisilin-klavulanat; KY+sepsis → küçük bolus + vazopressör; diyabet+ayak → MRSA + cerrahi; KOAH+pnömoni → β-laktam + O₂/NIV.</w:t>
      </w:r>
    </w:p>
    <w:p>
      <w:r>
        <w:rPr>
          <w:rFonts w:ascii="Times New Roman" w:hAnsi="Times New Roman"/>
          <w:b w:val="0"/>
          <w:sz w:val="24"/>
        </w:rPr>
        <w:t>Adım 5 — Rota ve süre: Oral geçiş afebrile 24–48 saatte; çoğu enfeksiyon 5–7 gün; 48–72 saatte klinik yanıt değerlendir.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8. Birleşik komorbidite algoritması – pratik karar ağacı (Aşama 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17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7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Tablo 4. Komorbiditeye göre kaçınılacak ve tercih edilecek antibiyotikler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Komorbidite</w:t>
            </w:r>
          </w:p>
        </w:tc>
        <w:tc>
          <w:tcPr>
            <w:tcW w:type="dxa" w:w="2835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Kaçınılması</w:t>
            </w:r>
          </w:p>
        </w:tc>
        <w:tc>
          <w:tcPr>
            <w:tcW w:type="dxa" w:w="3118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Tercih alternatifleri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KBH (eGFR &lt;30)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Nitrofurantoin, aminoglikozid, TMP-SMX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Amoksisilin, ceftriaxone, meropenem</w:t>
            </w:r>
          </w:p>
        </w:tc>
      </w:tr>
      <w:tr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Kalp yetmezliği</w:t>
            </w:r>
          </w:p>
        </w:tc>
        <w:tc>
          <w:tcPr>
            <w:tcW w:type="dxa" w:w="2835"/>
            <w:shd w:fill="EDF2F9" w:val="clear"/>
          </w:tcPr>
          <w:p>
            <w:r>
              <w:rPr>
                <w:sz w:val="20"/>
              </w:rPr>
              <w:t>Agresif sıvı; QT uzatan ilaçlar</w:t>
            </w:r>
          </w:p>
        </w:tc>
        <w:tc>
          <w:tcPr>
            <w:tcW w:type="dxa" w:w="3118"/>
            <w:shd w:fill="EDF2F9" w:val="clear"/>
          </w:tcPr>
          <w:p>
            <w:r>
              <w:rPr>
                <w:sz w:val="20"/>
              </w:rPr>
              <w:t>β-laktam; küçük bolus + vazopressör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KOAH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Aşırı O₂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Amoksisilin-klavulanat; NIV</w:t>
            </w:r>
          </w:p>
        </w:tc>
      </w:tr>
      <w:tr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Diyabet</w:t>
            </w:r>
          </w:p>
        </w:tc>
        <w:tc>
          <w:tcPr>
            <w:tcW w:type="dxa" w:w="2835"/>
            <w:shd w:fill="EDF2F9" w:val="clear"/>
          </w:tcPr>
          <w:p>
            <w:r>
              <w:rPr>
                <w:sz w:val="20"/>
              </w:rPr>
              <w:t>Kinolon; metformin (sepsis/AKI)</w:t>
            </w:r>
          </w:p>
        </w:tc>
        <w:tc>
          <w:tcPr>
            <w:tcW w:type="dxa" w:w="3118"/>
            <w:shd w:fill="EDF2F9" w:val="clear"/>
          </w:tcPr>
          <w:p>
            <w:r>
              <w:rPr>
                <w:sz w:val="20"/>
              </w:rPr>
              <w:t>Sefalosporin; glisemi izlemi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Varfarin/DOAC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TMP-SMX, makrolid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Amoksisilin, doksisiklin</w:t>
            </w:r>
          </w:p>
        </w:tc>
      </w:tr>
      <w:tr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QT uzaması</w:t>
            </w:r>
          </w:p>
        </w:tc>
        <w:tc>
          <w:tcPr>
            <w:tcW w:type="dxa" w:w="2835"/>
            <w:shd w:fill="EDF2F9" w:val="clear"/>
          </w:tcPr>
          <w:p>
            <w:r>
              <w:rPr>
                <w:sz w:val="20"/>
              </w:rPr>
              <w:t>Makrolid, kinolon, azol</w:t>
            </w:r>
          </w:p>
        </w:tc>
        <w:tc>
          <w:tcPr>
            <w:tcW w:type="dxa" w:w="3118"/>
            <w:shd w:fill="EDF2F9" w:val="clear"/>
          </w:tcPr>
          <w:p>
            <w:r>
              <w:rPr>
                <w:sz w:val="20"/>
              </w:rPr>
              <w:t>β-laktam, linezolid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CDI öyküsü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4C grubu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Amoksisilin, doksisiklin, linezolid</w:t>
            </w:r>
          </w:p>
        </w:tc>
      </w:tr>
      <w:tr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Parkinson</w:t>
            </w:r>
          </w:p>
        </w:tc>
        <w:tc>
          <w:tcPr>
            <w:tcW w:type="dxa" w:w="2835"/>
            <w:shd w:fill="EDF2F9" w:val="clear"/>
          </w:tcPr>
          <w:p>
            <w:r>
              <w:rPr>
                <w:sz w:val="20"/>
              </w:rPr>
              <w:t>Metoklopramid, kinolon</w:t>
            </w:r>
          </w:p>
        </w:tc>
        <w:tc>
          <w:tcPr>
            <w:tcW w:type="dxa" w:w="3118"/>
            <w:shd w:fill="EDF2F9" w:val="clear"/>
          </w:tcPr>
          <w:p>
            <w:r>
              <w:rPr>
                <w:sz w:val="20"/>
              </w:rPr>
              <w:t>Amoksisilin, sefalosporin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Demans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Kinolon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β-laktam; deliryum önleyici bakım</w:t>
            </w:r>
          </w:p>
        </w:tc>
      </w:tr>
      <w:tr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İmmünosupresyon</w:t>
            </w:r>
          </w:p>
        </w:tc>
        <w:tc>
          <w:tcPr>
            <w:tcW w:type="dxa" w:w="2835"/>
            <w:shd w:fill="EDF2F9" w:val="clear"/>
          </w:tcPr>
          <w:p>
            <w:r>
              <w:rPr>
                <w:sz w:val="20"/>
              </w:rPr>
              <w:t>Dar spektrum gecikmesi</w:t>
            </w:r>
          </w:p>
        </w:tc>
        <w:tc>
          <w:tcPr>
            <w:tcW w:type="dxa" w:w="3118"/>
            <w:shd w:fill="EDF2F9" w:val="clear"/>
          </w:tcPr>
          <w:p>
            <w:r>
              <w:rPr>
                <w:sz w:val="20"/>
              </w:rPr>
              <w:t>Geniş spektrum empirisi</w:t>
            </w:r>
          </w:p>
        </w:tc>
      </w:tr>
    </w:tbl>
    <w:p/>
    <w:p>
      <w:pPr>
        <w:pStyle w:val="Heading3"/>
      </w:pPr>
      <w:r>
        <w:t>Aşama 5: Sepsis yönetimi — komorbiditeye göre uyarlanmış şema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Surviving Sepsis Campaign 2021 erken antibiyotik ve kaynak kontrolünü vurgular; yaşlı kırılgan hastada frailty ve ACP ile birlikte invaziv destek kararı verilmelidir </w:t>
      </w:r>
      <w:r>
        <w:rPr>
          <w:rFonts w:ascii="Times New Roman" w:hAnsi="Times New Roman"/>
          <w:sz w:val="20"/>
          <w:vertAlign w:val="superscript"/>
        </w:rPr>
        <w:t>[10]</w:t>
      </w:r>
      <w:r>
        <w:rPr>
          <w:rFonts w:ascii="Times New Roman" w:hAnsi="Times New Roman"/>
          <w:sz w:val="20"/>
          <w:vertAlign w:val="superscript"/>
        </w:rPr>
        <w:t>[4]</w:t>
      </w:r>
      <w:r>
        <w:rPr>
          <w:rFonts w:ascii="Times New Roman" w:hAnsi="Times New Roman"/>
          <w:sz w:val="20"/>
          <w:vertAlign w:val="superscript"/>
        </w:rPr>
        <w:t>[14]</w:t>
      </w:r>
      <w:r>
        <w:rPr>
          <w:rFonts w:ascii="Times New Roman" w:hAnsi="Times New Roman"/>
          <w:sz w:val="24"/>
        </w:rPr>
        <w:t>.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Şekil 9. Sepsis yönetimi: komorbiditeye göre sıvı stratejisi (Aşama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37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37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 w:val="0"/>
          <w:sz w:val="24"/>
        </w:rPr>
        <w:t>• Antibiyotik: Septik şokta 1 saat içinde geniş spektrum (Aşama 3–4 filtresi ile doz/ilaç). Sepsis (şoksuz): en kısa sürede başla; 48–72 saatte de-eskale.</w:t>
      </w:r>
    </w:p>
    <w:p>
      <w:r>
        <w:rPr>
          <w:rFonts w:ascii="Times New Roman" w:hAnsi="Times New Roman"/>
          <w:b w:val="0"/>
          <w:sz w:val="24"/>
        </w:rPr>
        <w:t>• Sıvı — KY yok, hipovolemik: kısıtlı bolus (500 mL) + yanıt değerlendir.</w:t>
      </w:r>
    </w:p>
    <w:p>
      <w:r>
        <w:rPr>
          <w:rFonts w:ascii="Times New Roman" w:hAnsi="Times New Roman"/>
          <w:b w:val="0"/>
          <w:sz w:val="24"/>
        </w:rPr>
        <w:t>• Sıvı — KY var, EF düşük: 250 mL bolus + POCUS/JVP; yanıt yoksa vazopressör; diüretik geçici kes.</w:t>
      </w:r>
    </w:p>
    <w:p>
      <w:r>
        <w:rPr>
          <w:rFonts w:ascii="Times New Roman" w:hAnsi="Times New Roman"/>
          <w:b w:val="0"/>
          <w:sz w:val="24"/>
        </w:rPr>
        <w:t>• Sıvı — KBH + diyaliz: volüm durumu diyaliz ekibi ile planlanır; nefrotoksiklerden kaçın.</w:t>
      </w:r>
    </w:p>
    <w:p>
      <w:r>
        <w:rPr>
          <w:rFonts w:ascii="Times New Roman" w:hAnsi="Times New Roman"/>
          <w:b w:val="0"/>
          <w:sz w:val="24"/>
        </w:rPr>
        <w:t>• Vazopressör/YBÜ: Frailty yüksek + ACP konfor odaklı ise invaziv destek sınırlı olabilir; multidisipliner karar.</w:t>
      </w:r>
    </w:p>
    <w:p>
      <w:r>
        <w:rPr>
          <w:rFonts w:ascii="Times New Roman" w:hAnsi="Times New Roman"/>
          <w:b w:val="0"/>
          <w:sz w:val="24"/>
        </w:rPr>
        <w:t>• Destekleyici: kaynak kontrol, deliryum önleme, erken mobilizasyon, palyatif entegrasyon.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qSOFA yaşlıda duyarlılığı düşüktür; KY/KBH ile organ yetmezliği sınırları belirsizleşir. Klinisyen muayenesi + seri vital + laktat esastır.</w:t>
      </w:r>
    </w:p>
    <w:p>
      <w:pPr>
        <w:pStyle w:val="Heading3"/>
      </w:pPr>
      <w:r>
        <w:t>Aşama 6: Polifarmasi ve ilaç–ilaç etkileşim kontrolü</w:t>
      </w:r>
    </w:p>
    <w:p>
      <w:pPr>
        <w:jc w:val="center"/>
      </w:pPr>
      <w:r>
        <w:rPr>
          <w:rFonts w:ascii="Times New Roman" w:hAnsi="Times New Roman"/>
          <w:b/>
          <w:color w:val="1A476F"/>
          <w:sz w:val="22"/>
        </w:rPr>
        <w:t>Tablo 5. Antimikrobiyal ilaç–ilaç etkileşimleri (yaşlı hasta)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Antibiyotik</w:t>
            </w:r>
          </w:p>
        </w:tc>
        <w:tc>
          <w:tcPr>
            <w:tcW w:type="dxa" w:w="1814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Etkileşim</w:t>
            </w:r>
          </w:p>
        </w:tc>
        <w:tc>
          <w:tcPr>
            <w:tcW w:type="dxa" w:w="1984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Sonuç</w:t>
            </w:r>
          </w:p>
        </w:tc>
        <w:tc>
          <w:tcPr>
            <w:tcW w:type="dxa" w:w="2268"/>
            <w:shd w:fill="1A476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Yapılacak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Klarytromisin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Statin, varfarin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Rabdomiyoliz, kanama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Alternatif AB</w:t>
            </w:r>
          </w:p>
        </w:tc>
      </w:tr>
      <w:tr>
        <w:tc>
          <w:tcPr>
            <w:tcW w:type="dxa" w:w="1587"/>
            <w:shd w:fill="EDF2F9" w:val="clear"/>
          </w:tcPr>
          <w:p>
            <w:r>
              <w:rPr>
                <w:sz w:val="20"/>
              </w:rPr>
              <w:t>TMP-SMX</w:t>
            </w:r>
          </w:p>
        </w:tc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Varfarin, ACEi</w:t>
            </w:r>
          </w:p>
        </w:tc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INR↑, hiperkalemi</w:t>
            </w:r>
          </w:p>
        </w:tc>
        <w:tc>
          <w:tcPr>
            <w:tcW w:type="dxa" w:w="2268"/>
            <w:shd w:fill="EDF2F9" w:val="clear"/>
          </w:tcPr>
          <w:p>
            <w:r>
              <w:rPr>
                <w:sz w:val="20"/>
              </w:rPr>
              <w:t>K/INR izle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Metronidazol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Varfarin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INR↑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Alternatif</w:t>
            </w:r>
          </w:p>
        </w:tc>
      </w:tr>
      <w:tr>
        <w:tc>
          <w:tcPr>
            <w:tcW w:type="dxa" w:w="1587"/>
            <w:shd w:fill="EDF2F9" w:val="clear"/>
          </w:tcPr>
          <w:p>
            <w:r>
              <w:rPr>
                <w:sz w:val="20"/>
              </w:rPr>
              <w:t>Kinolon</w:t>
            </w:r>
          </w:p>
        </w:tc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Teofilin, OAD</w:t>
            </w:r>
          </w:p>
        </w:tc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Toksisite, hipoglisemi</w:t>
            </w:r>
          </w:p>
        </w:tc>
        <w:tc>
          <w:tcPr>
            <w:tcW w:type="dxa" w:w="2268"/>
            <w:shd w:fill="EDF2F9" w:val="clear"/>
          </w:tcPr>
          <w:p>
            <w:r>
              <w:rPr>
                <w:sz w:val="20"/>
              </w:rPr>
              <w:t>Alternatif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Vankomisin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Aminoglikozid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Nefrotoksisite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Düzey izle</w:t>
            </w:r>
          </w:p>
        </w:tc>
      </w:tr>
      <w:tr>
        <w:tc>
          <w:tcPr>
            <w:tcW w:type="dxa" w:w="1587"/>
            <w:shd w:fill="EDF2F9" w:val="clear"/>
          </w:tcPr>
          <w:p>
            <w:r>
              <w:rPr>
                <w:sz w:val="20"/>
              </w:rPr>
              <w:t>Meropenem</w:t>
            </w:r>
          </w:p>
        </w:tc>
        <w:tc>
          <w:tcPr>
            <w:tcW w:type="dxa" w:w="1814"/>
            <w:shd w:fill="EDF2F9" w:val="clear"/>
          </w:tcPr>
          <w:p>
            <w:r>
              <w:rPr>
                <w:sz w:val="20"/>
              </w:rPr>
              <w:t>Valproat</w:t>
            </w:r>
          </w:p>
        </w:tc>
        <w:tc>
          <w:tcPr>
            <w:tcW w:type="dxa" w:w="1984"/>
            <w:shd w:fill="EDF2F9" w:val="clear"/>
          </w:tcPr>
          <w:p>
            <w:r>
              <w:rPr>
                <w:sz w:val="20"/>
              </w:rPr>
              <w:t>Düzey değişimi</w:t>
            </w:r>
          </w:p>
        </w:tc>
        <w:tc>
          <w:tcPr>
            <w:tcW w:type="dxa" w:w="2268"/>
            <w:shd w:fill="EDF2F9" w:val="clear"/>
          </w:tcPr>
          <w:p>
            <w:r>
              <w:rPr>
                <w:sz w:val="20"/>
              </w:rPr>
              <w:t>AED izle</w:t>
            </w:r>
          </w:p>
        </w:tc>
      </w:tr>
    </w:tbl>
    <w:p/>
    <w:p>
      <w:pPr>
        <w:ind w:firstLine="567"/>
      </w:pPr>
      <w:r>
        <w:rPr>
          <w:rFonts w:ascii="Times New Roman" w:hAnsi="Times New Roman"/>
          <w:sz w:val="24"/>
        </w:rPr>
        <w:t xml:space="preserve">Polifarmasi yönetiminde her yeni antibiyotik için etkileşim taraması zorunludur </w:t>
      </w:r>
      <w:r>
        <w:rPr>
          <w:rFonts w:ascii="Times New Roman" w:hAnsi="Times New Roman"/>
          <w:sz w:val="20"/>
          <w:vertAlign w:val="superscript"/>
        </w:rPr>
        <w:t>[13]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</w:pPr>
      <w:r>
        <w:t>Kaynak kontrolü ve bakım desteği</w:t>
      </w:r>
    </w:p>
    <w:p>
      <w:r>
        <w:rPr>
          <w:rFonts w:ascii="Times New Roman" w:hAnsi="Times New Roman"/>
          <w:b w:val="0"/>
          <w:sz w:val="24"/>
        </w:rPr>
        <w:t>• Kateter çıkarılması/değişimi (idrar, santral venöz)</w:t>
      </w:r>
    </w:p>
    <w:p>
      <w:r>
        <w:rPr>
          <w:rFonts w:ascii="Times New Roman" w:hAnsi="Times New Roman"/>
          <w:b w:val="0"/>
          <w:sz w:val="24"/>
        </w:rPr>
        <w:t>• İdrar retansiyonu giderilmesi (BPH, nörogen mesane)</w:t>
      </w:r>
    </w:p>
    <w:p>
      <w:r>
        <w:rPr>
          <w:rFonts w:ascii="Times New Roman" w:hAnsi="Times New Roman"/>
          <w:b w:val="0"/>
          <w:sz w:val="24"/>
        </w:rPr>
        <w:t>• Dekubitus bakımı ve bası yarası debridmanı</w:t>
      </w:r>
    </w:p>
    <w:p>
      <w:r>
        <w:rPr>
          <w:rFonts w:ascii="Times New Roman" w:hAnsi="Times New Roman"/>
          <w:b w:val="0"/>
          <w:sz w:val="24"/>
        </w:rPr>
        <w:t>• Aspirasyon önleme; yutma değerlendirmesi</w:t>
      </w:r>
    </w:p>
    <w:p>
      <w:r>
        <w:rPr>
          <w:rFonts w:ascii="Times New Roman" w:hAnsi="Times New Roman"/>
          <w:b w:val="0"/>
          <w:sz w:val="24"/>
        </w:rPr>
        <w:t>• KY/KBH’ye uygun hidratasyon; erken mobilizasyon</w:t>
      </w:r>
    </w:p>
    <w:p>
      <w:r>
        <w:rPr>
          <w:rFonts w:ascii="Times New Roman" w:hAnsi="Times New Roman"/>
          <w:b w:val="0"/>
          <w:sz w:val="24"/>
        </w:rPr>
        <w:t>• Glisemi, elektrolit, böbrek fonksiyonu günlük izlem</w:t>
      </w:r>
    </w:p>
    <w:p>
      <w:pPr>
        <w:pStyle w:val="Heading2"/>
      </w:pPr>
      <w:r>
        <w:t>ÖNLEME, AŞILAMA VE ENFEKSİYON KONTROLÜ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Yaşlıda aşı yanıtı azalmış olsa da influenza, pnömokok, COVID-19, herpes zoster ve RSV aşıları birincil korunmanın temelidir </w:t>
      </w:r>
      <w:r>
        <w:rPr>
          <w:rFonts w:ascii="Times New Roman" w:hAnsi="Times New Roman"/>
          <w:sz w:val="20"/>
          <w:vertAlign w:val="superscript"/>
        </w:rPr>
        <w:t>[15]</w:t>
      </w:r>
      <w:r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b w:val="0"/>
          <w:sz w:val="24"/>
        </w:rPr>
        <w:t>• Influenza: yıllık, yüksek doz/adjuvanlı formlar.</w:t>
      </w:r>
    </w:p>
    <w:p>
      <w:r>
        <w:rPr>
          <w:rFonts w:ascii="Times New Roman" w:hAnsi="Times New Roman"/>
          <w:b w:val="0"/>
          <w:sz w:val="24"/>
        </w:rPr>
        <w:t>• Pnömokok: konjuge aşı serisi.</w:t>
      </w:r>
    </w:p>
    <w:p>
      <w:r>
        <w:rPr>
          <w:rFonts w:ascii="Times New Roman" w:hAnsi="Times New Roman"/>
          <w:b w:val="0"/>
          <w:sz w:val="24"/>
        </w:rPr>
        <w:t>• COVID-19: güncel takviye doz.</w:t>
      </w:r>
    </w:p>
    <w:p>
      <w:r>
        <w:rPr>
          <w:rFonts w:ascii="Times New Roman" w:hAnsi="Times New Roman"/>
          <w:b w:val="0"/>
          <w:sz w:val="24"/>
        </w:rPr>
        <w:t>• Herpes zoster: rekombinant aşı.</w:t>
      </w:r>
    </w:p>
    <w:p>
      <w:r>
        <w:rPr>
          <w:rFonts w:ascii="Times New Roman" w:hAnsi="Times New Roman"/>
          <w:b w:val="0"/>
          <w:sz w:val="24"/>
        </w:rPr>
        <w:t>• RSV: yaşlı popülasyonda yeni seçenekler.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UDBK’larda 2025 multisociety enfeksiyon kontrol rehberi el hijyeni, izolasyon, personel eğitimi, aşı programları, cihaz ilişkili enfeksiyon paketleri ve salgın yönetimini vurgular </w:t>
      </w:r>
      <w:r>
        <w:rPr>
          <w:rFonts w:ascii="Times New Roman" w:hAnsi="Times New Roman"/>
          <w:sz w:val="20"/>
          <w:vertAlign w:val="superscript"/>
        </w:rPr>
        <w:t>[16]</w:t>
      </w:r>
      <w:r>
        <w:rPr>
          <w:rFonts w:ascii="Times New Roman" w:hAnsi="Times New Roman"/>
          <w:sz w:val="24"/>
        </w:rPr>
        <w:t>. Yaşlı hasta popülasyonunun büyük bölümü UDBK’da izlendiğinden, ayaktan hekimin de bu protokolleri bilmesi gerekir.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Antimikrobiyal stewardship (AMS) hedefleri:</w:t>
      </w:r>
    </w:p>
    <w:p>
      <w:r>
        <w:rPr>
          <w:rFonts w:ascii="Times New Roman" w:hAnsi="Times New Roman"/>
          <w:b w:val="0"/>
          <w:sz w:val="24"/>
        </w:rPr>
        <w:t>• Gereksiz antibiyotik azaltımı (asimptomatik bakteriüri, viral üSYE)</w:t>
      </w:r>
    </w:p>
    <w:p>
      <w:r>
        <w:rPr>
          <w:rFonts w:ascii="Times New Roman" w:hAnsi="Times New Roman"/>
          <w:b w:val="0"/>
          <w:sz w:val="24"/>
        </w:rPr>
        <w:t>• Kısa etkin süre (çoğu enfeksiyon 5–7 gün)</w:t>
      </w:r>
    </w:p>
    <w:p>
      <w:r>
        <w:rPr>
          <w:rFonts w:ascii="Times New Roman" w:hAnsi="Times New Roman"/>
          <w:b w:val="0"/>
          <w:sz w:val="24"/>
        </w:rPr>
        <w:t>• Dar spektrum tercih</w:t>
      </w:r>
    </w:p>
    <w:p>
      <w:r>
        <w:rPr>
          <w:rFonts w:ascii="Times New Roman" w:hAnsi="Times New Roman"/>
          <w:b w:val="0"/>
          <w:sz w:val="24"/>
        </w:rPr>
        <w:t>• Klinik yanıt odaklı erken durdurma</w:t>
      </w:r>
    </w:p>
    <w:p>
      <w:r>
        <w:rPr>
          <w:rFonts w:ascii="Times New Roman" w:hAnsi="Times New Roman"/>
          <w:b w:val="0"/>
          <w:sz w:val="24"/>
        </w:rPr>
        <w:t>• “Non-lokalize bulgu = antibiyotik” refleksinden kaçınma</w:t>
      </w:r>
    </w:p>
    <w:p>
      <w:pPr>
        <w:ind w:firstLine="567"/>
      </w:pPr>
      <w:r>
        <w:rPr>
          <w:rFonts w:ascii="Times New Roman" w:hAnsi="Times New Roman"/>
          <w:sz w:val="24"/>
        </w:rPr>
        <w:t xml:space="preserve">Niçin aşılama bu bölümde? Enfeksiyon yönetimi yalnızca tedavi değil; hastane yatışını, deliryumu ve antibiyotik maruziyetini azaltan üst düzey stratejidir </w:t>
      </w:r>
      <w:r>
        <w:rPr>
          <w:rFonts w:ascii="Times New Roman" w:hAnsi="Times New Roman"/>
          <w:sz w:val="20"/>
          <w:vertAlign w:val="superscript"/>
        </w:rPr>
        <w:t>[15]</w:t>
      </w:r>
      <w:r>
        <w:rPr>
          <w:rFonts w:ascii="Times New Roman" w:hAnsi="Times New Roman"/>
          <w:sz w:val="24"/>
        </w:rPr>
        <w:t>.</w:t>
      </w:r>
    </w:p>
    <w:p>
      <w:pPr>
        <w:pStyle w:val="Heading2"/>
      </w:pPr>
      <w:r>
        <w:t>PRATİK KLİNİK SENARYOLAR</w:t>
      </w:r>
    </w:p>
    <w:p>
      <w:r>
        <w:rPr>
          <w:rFonts w:ascii="Times New Roman" w:hAnsi="Times New Roman"/>
          <w:b/>
          <w:sz w:val="24"/>
        </w:rPr>
        <w:t>Senaryo 1 — 84 yaş, UDBK, yeni konfüzyon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Yanlış: Otomatik İYE + kinolon.</w:t>
      </w:r>
    </w:p>
    <w:p>
      <w:pPr>
        <w:ind w:firstLine="567"/>
      </w:pPr>
      <w:r>
        <w:rPr>
          <w:rFonts w:ascii="Times New Roman" w:hAnsi="Times New Roman"/>
          <w:sz w:val="24"/>
        </w:rPr>
        <w:t>Doğru: 4AT, vital, odak taraması, idrar tahlili (piyüri/kültür destekleyici bulgularla), göğüs grafisi; alternatif nedenler (retansiyon, ilaç, metabolik). Antibiyotik yalnızca yüksek olasılıkta.</w:t>
      </w:r>
      <w:r>
        <w:rPr>
          <w:rFonts w:ascii="Times New Roman" w:hAnsi="Times New Roman"/>
          <w:sz w:val="20"/>
          <w:vertAlign w:val="superscript"/>
        </w:rPr>
        <w:t>[8]</w:t>
      </w:r>
    </w:p>
    <w:p>
      <w:r>
        <w:rPr>
          <w:rFonts w:ascii="Times New Roman" w:hAnsi="Times New Roman"/>
          <w:b/>
          <w:sz w:val="24"/>
        </w:rPr>
        <w:t>Senaryo 2 — 78 yaş, diyabet, ayak kızarıklığı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Yanlış: Oral sefalosporin + ayakta izlem.</w:t>
      </w:r>
    </w:p>
    <w:p>
      <w:pPr>
        <w:ind w:firstLine="567"/>
      </w:pPr>
      <w:r>
        <w:rPr>
          <w:rFonts w:ascii="Times New Roman" w:hAnsi="Times New Roman"/>
          <w:sz w:val="24"/>
        </w:rPr>
        <w:t>Doğru: nabız/iskemi, derin doku değerlendirmesi, MRSA cover, cerrahi debridman; glisemi optimizasyonu.</w:t>
      </w:r>
      <w:r>
        <w:rPr>
          <w:rFonts w:ascii="Times New Roman" w:hAnsi="Times New Roman"/>
          <w:sz w:val="20"/>
          <w:vertAlign w:val="superscript"/>
        </w:rPr>
        <w:t>[12]</w:t>
      </w:r>
    </w:p>
    <w:p>
      <w:r>
        <w:rPr>
          <w:rFonts w:ascii="Times New Roman" w:hAnsi="Times New Roman"/>
          <w:b/>
          <w:sz w:val="24"/>
        </w:rPr>
        <w:t>Senaryo 3 — 90 yaş, kırılgan, sepsis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Yanlış: Gecikme.</w:t>
      </w:r>
    </w:p>
    <w:p>
      <w:pPr>
        <w:ind w:firstLine="567"/>
      </w:pPr>
      <w:r>
        <w:rPr>
          <w:rFonts w:ascii="Times New Roman" w:hAnsi="Times New Roman"/>
          <w:sz w:val="24"/>
        </w:rPr>
        <w:t>Doğru: Sepsis protokolü + frailty/ACP; erken antibiyotik; multidisipliner karar.</w:t>
      </w:r>
      <w:r>
        <w:rPr>
          <w:rFonts w:ascii="Times New Roman" w:hAnsi="Times New Roman"/>
          <w:sz w:val="20"/>
          <w:vertAlign w:val="superscript"/>
        </w:rPr>
        <w:t>[4]</w:t>
      </w:r>
      <w:r>
        <w:rPr>
          <w:rFonts w:ascii="Times New Roman" w:hAnsi="Times New Roman"/>
          <w:sz w:val="20"/>
          <w:vertAlign w:val="superscript"/>
        </w:rPr>
        <w:t>[14]</w:t>
      </w:r>
    </w:p>
    <w:p>
      <w:r>
        <w:rPr>
          <w:rFonts w:ascii="Times New Roman" w:hAnsi="Times New Roman"/>
          <w:b/>
          <w:sz w:val="24"/>
        </w:rPr>
        <w:t>Senaryo 4 — 82 yaş, KY+KBH, pnömoni+hipotansiyon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Yanlış: 30 mL/kg sıvı + levofloksasin + TMP-SMX.</w:t>
      </w:r>
    </w:p>
    <w:p>
      <w:pPr>
        <w:ind w:firstLine="567"/>
      </w:pPr>
      <w:r>
        <w:rPr>
          <w:rFonts w:ascii="Times New Roman" w:hAnsi="Times New Roman"/>
          <w:sz w:val="24"/>
        </w:rPr>
        <w:t>Doğru: 250 mL bolus + POCUS; noradrenalin; amoksisilin-klavulanat/meropenem (doz ayarlı); diüretik kes; günlük K/kreatinin.</w:t>
      </w:r>
      <w:r>
        <w:rPr>
          <w:rFonts w:ascii="Times New Roman" w:hAnsi="Times New Roman"/>
          <w:sz w:val="20"/>
          <w:vertAlign w:val="superscript"/>
        </w:rPr>
        <w:t>[10]</w:t>
      </w:r>
      <w:r>
        <w:rPr>
          <w:rFonts w:ascii="Times New Roman" w:hAnsi="Times New Roman"/>
          <w:sz w:val="20"/>
          <w:vertAlign w:val="superscript"/>
        </w:rPr>
        <w:t>[11]</w:t>
      </w:r>
    </w:p>
    <w:p>
      <w:r>
        <w:rPr>
          <w:rFonts w:ascii="Times New Roman" w:hAnsi="Times New Roman"/>
          <w:b/>
          <w:sz w:val="24"/>
        </w:rPr>
        <w:t>Senaryo 5 — 76 yaş, varfarin+Parkinson, İYE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Yanlış: TMP-SMX + metoklopramid.</w:t>
      </w:r>
    </w:p>
    <w:p>
      <w:pPr>
        <w:ind w:firstLine="567"/>
      </w:pPr>
      <w:r>
        <w:rPr>
          <w:rFonts w:ascii="Times New Roman" w:hAnsi="Times New Roman"/>
          <w:sz w:val="24"/>
        </w:rPr>
        <w:t>Doğru: fosfomisin/amoksisilin; INR izlemi; metoklopramid yasak.</w:t>
      </w:r>
      <w:r>
        <w:rPr>
          <w:rFonts w:ascii="Times New Roman" w:hAnsi="Times New Roman"/>
          <w:sz w:val="20"/>
          <w:vertAlign w:val="superscript"/>
        </w:rPr>
        <w:t>[11]</w:t>
      </w:r>
      <w:r>
        <w:rPr>
          <w:rFonts w:ascii="Times New Roman" w:hAnsi="Times New Roman"/>
          <w:sz w:val="20"/>
          <w:vertAlign w:val="superscript"/>
        </w:rPr>
        <w:t>[13]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Bu senaryolar, komorbidite filtresinin klinik uygulamada neden kritik olduğunu göstermektedir. Özellikle KY+KBH birlikteliğinde hem sıvı hem antibiyotik seçimi standart protokolden sapmalı; Parkinson ve antikoagülan kullanan hastada ise ilaç–ilaç etkileşimleri yaşamı tehdit edebilir.</w:t>
      </w:r>
    </w:p>
    <w:p>
      <w:pPr>
        <w:pStyle w:val="Heading2"/>
      </w:pPr>
      <w:r>
        <w:t>SONUÇ</w:t>
      </w:r>
    </w:p>
    <w:p>
      <w:r>
        <w:rPr>
          <w:rFonts w:ascii="Times New Roman" w:hAnsi="Times New Roman"/>
          <w:b w:val="0"/>
          <w:sz w:val="24"/>
        </w:rPr>
        <w:t>1. Atipik sunumu tanımak (deliryum, düşme, fonksiyon kaybı)</w:t>
      </w:r>
    </w:p>
    <w:p>
      <w:r>
        <w:rPr>
          <w:rFonts w:ascii="Times New Roman" w:hAnsi="Times New Roman"/>
          <w:b w:val="0"/>
          <w:sz w:val="24"/>
        </w:rPr>
        <w:t>2. Sistematik odak araması yapmak</w:t>
      </w:r>
    </w:p>
    <w:p>
      <w:r>
        <w:rPr>
          <w:rFonts w:ascii="Times New Roman" w:hAnsi="Times New Roman"/>
          <w:b w:val="0"/>
          <w:sz w:val="24"/>
        </w:rPr>
        <w:t>3. Komorbidite ve polifarmasiyi tedavi kararına entegre etmek</w:t>
      </w:r>
    </w:p>
    <w:p>
      <w:r>
        <w:rPr>
          <w:rFonts w:ascii="Times New Roman" w:hAnsi="Times New Roman"/>
          <w:b w:val="0"/>
          <w:sz w:val="24"/>
        </w:rPr>
        <w:t>4. Erken uygun antimikrobiyal tedavi ile gereksiz kullanımı dengelemek</w:t>
      </w:r>
    </w:p>
    <w:p>
      <w:r>
        <w:rPr>
          <w:rFonts w:ascii="Times New Roman" w:hAnsi="Times New Roman"/>
          <w:b w:val="0"/>
          <w:sz w:val="24"/>
        </w:rPr>
        <w:t>5. Aşılama ve enfeksiyon kontrolü ile birincil önlem sağlamak</w:t>
      </w:r>
    </w:p>
    <w:p>
      <w:pPr>
        <w:ind w:firstLine="567"/>
      </w:pPr>
      <w:r>
        <w:rPr>
          <w:rFonts w:ascii="Times New Roman" w:hAnsi="Times New Roman"/>
          <w:b w:val="0"/>
          <w:sz w:val="24"/>
        </w:rPr>
        <w:t>Algoritmik yaklaşım klinik muhakemenin yerini almaz; gecikmeyi azaltır, tanı hatalarını sınırlar ve bireyselleştirilmiş bakım için çerçeve sunar.</w:t>
      </w:r>
    </w:p>
    <w:p>
      <w:pPr>
        <w:pStyle w:val="Heading2"/>
      </w:pPr>
      <w:r>
        <w:t>KAYNAKLAR</w:t>
      </w:r>
    </w:p>
    <w:p>
      <w:pPr>
        <w:ind w:left="567" w:hanging="567"/>
      </w:pPr>
      <w:r>
        <w:rPr>
          <w:rFonts w:ascii="Times New Roman" w:hAnsi="Times New Roman"/>
          <w:sz w:val="22"/>
        </w:rPr>
        <w:t>1. High KP, Bradley SF, Gravenstein S, et al. Clinical practice guideline for the evaluation of fever and infection in older adult residents of long-term care facilities: 2008 update by the Infectious Diseases Society of America. Clin Infect Dis. 2009;48(2):149-171. (Köşe taşı)</w:t>
      </w:r>
    </w:p>
    <w:p>
      <w:pPr>
        <w:ind w:left="567" w:hanging="567"/>
      </w:pPr>
      <w:r>
        <w:rPr>
          <w:rFonts w:ascii="Times New Roman" w:hAnsi="Times New Roman"/>
          <w:sz w:val="22"/>
        </w:rPr>
        <w:t>2. Norman DC. Fever in the elderly. Clin Infect Dis. 2000;31(1):148-151. (Köşe taşı)</w:t>
      </w:r>
    </w:p>
    <w:p>
      <w:pPr>
        <w:ind w:left="567" w:hanging="567"/>
      </w:pPr>
      <w:r>
        <w:rPr>
          <w:rFonts w:ascii="Times New Roman" w:hAnsi="Times New Roman"/>
          <w:sz w:val="22"/>
        </w:rPr>
        <w:t>3. Juthani-Mehta M, Petrilli CM, Wright PW, et al. Infectious diseases in older adults of long-term care facilities: update on approach to diagnosis and management. J Am Geriatr Soc. 2020;68(3):478-492.</w:t>
      </w:r>
    </w:p>
    <w:p>
      <w:pPr>
        <w:ind w:left="567" w:hanging="567"/>
      </w:pPr>
      <w:r>
        <w:rPr>
          <w:rFonts w:ascii="Times New Roman" w:hAnsi="Times New Roman"/>
          <w:sz w:val="22"/>
        </w:rPr>
        <w:t>4. Gordon AL, Goodman A, Davies SL, et al. Diagnosis and management of sepsis in the older adult. BMJ. 2023;382:e075585.</w:t>
      </w:r>
    </w:p>
    <w:p>
      <w:pPr>
        <w:ind w:left="567" w:hanging="567"/>
      </w:pPr>
      <w:r>
        <w:rPr>
          <w:rFonts w:ascii="Times New Roman" w:hAnsi="Times New Roman"/>
          <w:sz w:val="22"/>
        </w:rPr>
        <w:t>5. Evans SS, Aspnes GE, Safford MM. Aging and options to halt declining immunity to virus infections. Front Immunol. 2021;12:681449.</w:t>
      </w:r>
    </w:p>
    <w:p>
      <w:pPr>
        <w:ind w:left="567" w:hanging="567"/>
      </w:pPr>
      <w:r>
        <w:rPr>
          <w:rFonts w:ascii="Times New Roman" w:hAnsi="Times New Roman"/>
          <w:sz w:val="22"/>
        </w:rPr>
        <w:t>6. Alnakhli AM, Alshammari A, Alshammari SA, et al. Aging and infection: impact of immunosenescence and inflammaging in respiratory viral infections. Cell Physiol Biochem. 2026;62(1):1-15.</w:t>
      </w:r>
    </w:p>
    <w:p>
      <w:pPr>
        <w:ind w:left="567" w:hanging="567"/>
      </w:pPr>
      <w:r>
        <w:rPr>
          <w:rFonts w:ascii="Times New Roman" w:hAnsi="Times New Roman"/>
          <w:sz w:val="22"/>
        </w:rPr>
        <w:t>7. Elhassan O, El-Sherif M, El-Mashad A, et al. Atypical presentations of acute infections in hospitalized older adults: the prevalence, predictors, and outcomes. Egypt J Geriatr Gerontol. 2021;8(2):204172.</w:t>
      </w:r>
    </w:p>
    <w:p>
      <w:pPr>
        <w:ind w:left="567" w:hanging="567"/>
      </w:pPr>
      <w:r>
        <w:rPr>
          <w:rFonts w:ascii="Times New Roman" w:hAnsi="Times New Roman"/>
          <w:sz w:val="22"/>
        </w:rPr>
        <w:t>8. Jump RLP, Sullivan GJ, Hemmert KC, et al. Reliability of nonlocalizing signs and symptoms as indicators of the presence of infection in nursing home residents. Infect Control Hosp Epidemiol. 2022;43(8):961-968.</w:t>
      </w:r>
    </w:p>
    <w:p>
      <w:pPr>
        <w:ind w:left="567" w:hanging="567"/>
      </w:pPr>
      <w:r>
        <w:rPr>
          <w:rFonts w:ascii="Times New Roman" w:hAnsi="Times New Roman"/>
          <w:sz w:val="22"/>
        </w:rPr>
        <w:t>9. Ticinesi A, Nouvenne A, Meschi T. Screening and treatment of asymptomatic bacteriuria in older adults: the case against. J Am Geriatr Soc. 2022;70(8):2192-2198.</w:t>
      </w:r>
    </w:p>
    <w:p>
      <w:pPr>
        <w:ind w:left="567" w:hanging="567"/>
      </w:pPr>
      <w:r>
        <w:rPr>
          <w:rFonts w:ascii="Times New Roman" w:hAnsi="Times New Roman"/>
          <w:sz w:val="22"/>
        </w:rPr>
        <w:t>10. Evans L, Rhodes A, Alhazzani W, et al. Surviving Sepsis Campaign: international guidelines for management of sepsis and septic shock 2021. Crit Care Med. 2021;49(11):e1063-e1143.</w:t>
      </w:r>
    </w:p>
    <w:p>
      <w:pPr>
        <w:ind w:left="567" w:hanging="567"/>
      </w:pPr>
      <w:r>
        <w:rPr>
          <w:rFonts w:ascii="Times New Roman" w:hAnsi="Times New Roman"/>
          <w:sz w:val="22"/>
        </w:rPr>
        <w:t>11. Scottish Antimicrobial Prescribing Group. Good practice recommendations for antimicrobial use in frail older people. 2021. https://www.sapg.scot</w:t>
      </w:r>
    </w:p>
    <w:p>
      <w:pPr>
        <w:ind w:left="567" w:hanging="567"/>
      </w:pPr>
      <w:r>
        <w:rPr>
          <w:rFonts w:ascii="Times New Roman" w:hAnsi="Times New Roman"/>
          <w:sz w:val="22"/>
        </w:rPr>
        <w:t>12. Carr E, Keating P, Gallagher P, et al. Safety and tolerability of antimicrobial agents in the older patient. Drugs Aging. 2023;40(12):1065-1083.</w:t>
      </w:r>
    </w:p>
    <w:p>
      <w:pPr>
        <w:ind w:left="567" w:hanging="567"/>
      </w:pPr>
      <w:r>
        <w:rPr>
          <w:rFonts w:ascii="Times New Roman" w:hAnsi="Times New Roman"/>
          <w:sz w:val="22"/>
        </w:rPr>
        <w:t>13. Wales Medicines Strategy Group. Polypharmacy in older people: a guide for healthcare professionals. 2023.</w:t>
      </w:r>
    </w:p>
    <w:p>
      <w:pPr>
        <w:ind w:left="567" w:hanging="567"/>
      </w:pPr>
      <w:r>
        <w:rPr>
          <w:rFonts w:ascii="Times New Roman" w:hAnsi="Times New Roman"/>
          <w:sz w:val="22"/>
        </w:rPr>
        <w:t>14. Fabbri E, Tebano G, De Angelis A, et al. Sepsis in frail older adults: tailored antimicrobial stewardship and individualized care approach. Antibiotics. 2026;15(5):496.</w:t>
      </w:r>
    </w:p>
    <w:p>
      <w:pPr>
        <w:ind w:left="567" w:hanging="567"/>
      </w:pPr>
      <w:r>
        <w:rPr>
          <w:rFonts w:ascii="Times New Roman" w:hAnsi="Times New Roman"/>
          <w:sz w:val="22"/>
        </w:rPr>
        <w:t>15. Muller L, Chan CT, Santamaria LP, et al. Impact of immunosenescence on vaccine immune responses and countermeasures. Vaccines. 2024;12(11):1289.</w:t>
      </w:r>
    </w:p>
    <w:p>
      <w:pPr>
        <w:ind w:left="567" w:hanging="567"/>
      </w:pPr>
      <w:r>
        <w:rPr>
          <w:rFonts w:ascii="Times New Roman" w:hAnsi="Times New Roman"/>
          <w:sz w:val="22"/>
        </w:rPr>
        <w:t>16. Aliberti S, Cook GS, Babu BL, et al. Multisociety guidance for infection prevention and control in nursing homes. Infect Control Hosp Epidemiol. 2025;46(12):10252.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47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47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47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