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476F"/>
          <w:sz w:val="36"/>
        </w:rPr>
        <w:t>CHEMICAL CARCINOGENS</w:t>
      </w:r>
    </w:p>
    <w:p>
      <w:pPr>
        <w:jc w:val="center"/>
      </w:pPr>
      <w:r>
        <w:rPr>
          <w:rFonts w:ascii="Times New Roman" w:hAnsi="Times New Roman"/>
          <w:sz w:val="24"/>
        </w:rPr>
        <w:t>45-Minute Medical Lecture Script</w:t>
        <w:br/>
        <w:t>Mechanisms, Classification, and Clinical Relevance</w:t>
        <w:br/>
        <w:t>(Full speaking text aligned with the slide deck)</w:t>
      </w:r>
    </w:p>
    <w:p>
      <w:pPr>
        <w:pStyle w:val="Heading1"/>
      </w:pPr>
      <w:r>
        <w:t>How to use this document</w:t>
      </w:r>
    </w:p>
    <w:p>
      <w:pPr>
        <w:ind w:firstLine="567"/>
      </w:pPr>
      <w:r>
        <w:rPr>
          <w:rFonts w:ascii="Times New Roman" w:hAnsi="Times New Roman"/>
          <w:b w:val="0"/>
          <w:sz w:val="24"/>
        </w:rPr>
        <w:t>This Word file is the complete spoken lecture for approximately 45 minutes. Each section corresponds to one slide in Chemical_Carcinogens_Lecture_Slides.pptx. Identical narrative text appears in the PowerPoint speaker notes (Presenter View). Slide bullets are cues only — speak from this script or from the notes pane. At a measured teaching pace of about 120–130 words per minute, the spoken text fits a 45-minute slot including brief pauses for the mini-case and questions.</w:t>
      </w:r>
    </w:p>
    <w:p>
      <w:pPr>
        <w:pStyle w:val="Heading1"/>
      </w:pPr>
      <w:r>
        <w:t>Suggested timing</w:t>
      </w:r>
    </w:p>
    <w:p>
      <w:pPr>
        <w:ind w:left="283"/>
      </w:pPr>
      <w:r>
        <w:rPr>
          <w:rFonts w:ascii="Times New Roman" w:hAnsi="Times New Roman"/>
          <w:sz w:val="24"/>
        </w:rPr>
        <w:t>0–2 min — Opening and framing</w:t>
      </w:r>
    </w:p>
    <w:p>
      <w:pPr>
        <w:ind w:left="283"/>
      </w:pPr>
      <w:r>
        <w:rPr>
          <w:rFonts w:ascii="Times New Roman" w:hAnsi="Times New Roman"/>
          <w:sz w:val="24"/>
        </w:rPr>
        <w:t>2–4 min — Learning objectives</w:t>
      </w:r>
    </w:p>
    <w:p>
      <w:pPr>
        <w:ind w:left="283"/>
      </w:pPr>
      <w:r>
        <w:rPr>
          <w:rFonts w:ascii="Times New Roman" w:hAnsi="Times New Roman"/>
          <w:sz w:val="24"/>
        </w:rPr>
        <w:t>4–8 min — Definition and brief history</w:t>
      </w:r>
    </w:p>
    <w:p>
      <w:pPr>
        <w:ind w:left="283"/>
      </w:pPr>
      <w:r>
        <w:rPr>
          <w:rFonts w:ascii="Times New Roman" w:hAnsi="Times New Roman"/>
          <w:sz w:val="24"/>
        </w:rPr>
        <w:t>8–14 min — Initiation, promotion, progression; genotoxic vs non-genotoxic</w:t>
      </w:r>
    </w:p>
    <w:p>
      <w:pPr>
        <w:ind w:left="283"/>
      </w:pPr>
      <w:r>
        <w:rPr>
          <w:rFonts w:ascii="Times New Roman" w:hAnsi="Times New Roman"/>
          <w:sz w:val="24"/>
        </w:rPr>
        <w:t>14–20 min — IARC, mechanisms, metabolism</w:t>
      </w:r>
    </w:p>
    <w:p>
      <w:pPr>
        <w:ind w:left="283"/>
      </w:pPr>
      <w:r>
        <w:rPr>
          <w:rFonts w:ascii="Times New Roman" w:hAnsi="Times New Roman"/>
          <w:sz w:val="24"/>
        </w:rPr>
        <w:t>20–34 min — Major chemical classes</w:t>
      </w:r>
    </w:p>
    <w:p>
      <w:pPr>
        <w:ind w:left="283"/>
      </w:pPr>
      <w:r>
        <w:rPr>
          <w:rFonts w:ascii="Times New Roman" w:hAnsi="Times New Roman"/>
          <w:sz w:val="24"/>
        </w:rPr>
        <w:t>34–40 min — Exposures, dose/latency, history-taking, prevention</w:t>
      </w:r>
    </w:p>
    <w:p>
      <w:pPr>
        <w:ind w:left="283"/>
      </w:pPr>
      <w:r>
        <w:rPr>
          <w:rFonts w:ascii="Times New Roman" w:hAnsi="Times New Roman"/>
          <w:sz w:val="24"/>
        </w:rPr>
        <w:t>40–43 min — Mini-case</w:t>
      </w:r>
    </w:p>
    <w:p>
      <w:pPr>
        <w:ind w:left="283"/>
      </w:pPr>
      <w:r>
        <w:rPr>
          <w:rFonts w:ascii="Times New Roman" w:hAnsi="Times New Roman"/>
          <w:sz w:val="24"/>
        </w:rPr>
        <w:t>43–45 min — Summary, reading, questions</w:t>
      </w:r>
    </w:p>
    <w:p>
      <w:pPr>
        <w:pStyle w:val="Heading1"/>
      </w:pPr>
      <w:r>
        <w:t>Full lecture narrative</w:t>
      </w:r>
    </w:p>
    <w:p>
      <w:pPr>
        <w:pStyle w:val="Heading2"/>
      </w:pPr>
      <w:r>
        <w:t>Slide 1. Chemical Carcinogens</w:t>
      </w:r>
    </w:p>
    <w:p>
      <w:r>
        <w:rPr>
          <w:rFonts w:ascii="Times New Roman" w:hAnsi="Times New Roman"/>
          <w:b/>
        </w:rPr>
        <w:t>What to say:</w:t>
      </w:r>
    </w:p>
    <w:p>
      <w:pPr>
        <w:ind w:firstLine="567"/>
      </w:pPr>
      <w:r>
        <w:rPr>
          <w:rFonts w:ascii="Times New Roman" w:hAnsi="Times New Roman"/>
          <w:b w:val="0"/>
          <w:sz w:val="24"/>
        </w:rPr>
        <w:t>Good morning, and welcome. This is a forty-five-minute lecture on chemical carcinogens. Our goal is practical: by the end, you should understand how chemicals cause cancer, which agents matter most in medicine and public health, and how to take an exposure history that actually changes care. We will move from definitions to the multistage model, then to IARC classification and molecular mechanisms, then through the major chemical classes — polycyclic aromatic hydrocarbons, aromatic amines, nitrosamines, aflatoxins, metals and asbestos, alkylating drugs, and hormones — and finish with dose, latency, prevention, and a short clinical case. Please keep three questions in mind: What is a chemical carcinogen? How does it transform a normal cell into a malignant clone? And what can we do, as clinicians, to reduce risk for patients and populations? Feel free to note questions; we will leave time at the end. Pause briefly after the three framing questions so students can write them down. Mention that this lecture sits at the intersection of pathology, oncology, toxicology, and occupational medicine — skills they will reuse on wards and in exams.</w:t>
      </w:r>
    </w:p>
    <w:p>
      <w:pPr>
        <w:pStyle w:val="Heading2"/>
      </w:pPr>
      <w:r>
        <w:t>Slide 2. Learning objectives</w:t>
      </w:r>
    </w:p>
    <w:p>
      <w:r>
        <w:rPr>
          <w:rFonts w:ascii="Times New Roman" w:hAnsi="Times New Roman"/>
          <w:b/>
        </w:rPr>
        <w:t>Slide cues:</w:t>
      </w:r>
    </w:p>
    <w:p>
      <w:pPr>
        <w:pStyle w:val="ListBullet"/>
      </w:pPr>
      <w:r>
        <w:rPr>
          <w:rFonts w:ascii="Times New Roman" w:hAnsi="Times New Roman"/>
          <w:sz w:val="22"/>
        </w:rPr>
        <w:t>Define chemical carcinogenesis and distinguish initiation, promotion, and progression</w:t>
      </w:r>
    </w:p>
    <w:p>
      <w:pPr>
        <w:pStyle w:val="ListBullet"/>
      </w:pPr>
      <w:r>
        <w:rPr>
          <w:rFonts w:ascii="Times New Roman" w:hAnsi="Times New Roman"/>
          <w:sz w:val="22"/>
        </w:rPr>
        <w:t>Classify chemical carcinogens using the IARC framework</w:t>
      </w:r>
    </w:p>
    <w:p>
      <w:pPr>
        <w:pStyle w:val="ListBullet"/>
      </w:pPr>
      <w:r>
        <w:rPr>
          <w:rFonts w:ascii="Times New Roman" w:hAnsi="Times New Roman"/>
          <w:sz w:val="22"/>
        </w:rPr>
        <w:t>Contrast genotoxic and non-genotoxic mechanisms</w:t>
      </w:r>
    </w:p>
    <w:p>
      <w:pPr>
        <w:pStyle w:val="ListBullet"/>
      </w:pPr>
      <w:r>
        <w:rPr>
          <w:rFonts w:ascii="Times New Roman" w:hAnsi="Times New Roman"/>
          <w:sz w:val="22"/>
        </w:rPr>
        <w:t>Identify major chemical carcinogen classes and associated cancers</w:t>
      </w:r>
    </w:p>
    <w:p>
      <w:pPr>
        <w:pStyle w:val="ListBullet"/>
      </w:pPr>
      <w:r>
        <w:rPr>
          <w:rFonts w:ascii="Times New Roman" w:hAnsi="Times New Roman"/>
          <w:sz w:val="22"/>
        </w:rPr>
        <w:t>Apply exposure history and prevention principles in clinical practice</w:t>
      </w:r>
    </w:p>
    <w:p>
      <w:r>
        <w:rPr>
          <w:rFonts w:ascii="Times New Roman" w:hAnsi="Times New Roman"/>
          <w:b/>
        </w:rPr>
        <w:t>What to say:</w:t>
      </w:r>
    </w:p>
    <w:p>
      <w:pPr>
        <w:ind w:firstLine="567"/>
      </w:pPr>
      <w:r>
        <w:rPr>
          <w:rFonts w:ascii="Times New Roman" w:hAnsi="Times New Roman"/>
          <w:b w:val="0"/>
          <w:sz w:val="24"/>
        </w:rPr>
        <w:t>Here are today's learning objectives. First, define chemical carcinogenesis and clearly distinguish initiation, promotion, and progression — this three-stage language appears in pathology exams and in toxicology. Second, classify agents using the IARC framework, and understand what Group 1 versus Group 2A actually means — and what it does not mean for an individual patient's risk. Third, contrast genotoxic and non-genotoxic mechanisms, because that distinction underpins debates about thresholds and 'safe' levels. Fourth, identify the major chemical classes and the cancers they are classically linked to — these agent–cancer pairs are high-yield. Fifth, apply exposure history and prevention in clinic: ask the right questions, counsel on tobacco and occupation, and know when food safety or vaccination intersects with chemical risk, as with aflatoxin and hepatitis B. If you can do these five things, you have met the aims of the lecture. Tell students which objective maps to which part of the hour: objectives one and two dominate the first twenty minutes; objective four is the long middle catalog; objective five is the closing clinical skill block. Encourage them to leave with at least five agent–cancer pairs memorized cold.</w:t>
      </w:r>
    </w:p>
    <w:p>
      <w:pPr>
        <w:pStyle w:val="Heading2"/>
      </w:pPr>
      <w:r>
        <w:t>Slide 3. What is a chemical carcinogen?</w:t>
      </w:r>
    </w:p>
    <w:p>
      <w:r>
        <w:rPr>
          <w:rFonts w:ascii="Times New Roman" w:hAnsi="Times New Roman"/>
          <w:b/>
        </w:rPr>
        <w:t>Slide cues:</w:t>
      </w:r>
    </w:p>
    <w:p>
      <w:pPr>
        <w:pStyle w:val="ListBullet"/>
      </w:pPr>
      <w:r>
        <w:rPr>
          <w:rFonts w:ascii="Times New Roman" w:hAnsi="Times New Roman"/>
          <w:sz w:val="22"/>
        </w:rPr>
        <w:t>A substance that increases cancer incidence by damaging DNA or disrupting cell control</w:t>
      </w:r>
    </w:p>
    <w:p>
      <w:pPr>
        <w:pStyle w:val="ListBullet"/>
      </w:pPr>
      <w:r>
        <w:rPr>
          <w:rFonts w:ascii="Times New Roman" w:hAnsi="Times New Roman"/>
          <w:sz w:val="22"/>
        </w:rPr>
        <w:t>May be synthetic (industrial chemicals, drugs) or natural (aflatoxin, some plant toxins)</w:t>
      </w:r>
    </w:p>
    <w:p>
      <w:pPr>
        <w:pStyle w:val="ListBullet"/>
      </w:pPr>
      <w:r>
        <w:rPr>
          <w:rFonts w:ascii="Times New Roman" w:hAnsi="Times New Roman"/>
          <w:sz w:val="22"/>
        </w:rPr>
        <w:t>Exposure routes: inhalation, ingestion, dermal absorption, iatrogenic</w:t>
      </w:r>
    </w:p>
    <w:p>
      <w:pPr>
        <w:pStyle w:val="ListBullet"/>
      </w:pPr>
      <w:r>
        <w:rPr>
          <w:rFonts w:ascii="Times New Roman" w:hAnsi="Times New Roman"/>
          <w:sz w:val="22"/>
        </w:rPr>
        <w:t>Effect depends on dose, duration, metabolism, and host susceptibility</w:t>
      </w:r>
    </w:p>
    <w:p>
      <w:pPr>
        <w:pStyle w:val="ListBullet"/>
      </w:pPr>
      <w:r>
        <w:rPr>
          <w:rFonts w:ascii="Times New Roman" w:hAnsi="Times New Roman"/>
          <w:sz w:val="22"/>
        </w:rPr>
        <w:t>Latency is typically long — years to decades after first exposure</w:t>
      </w:r>
    </w:p>
    <w:p>
      <w:r>
        <w:rPr>
          <w:rFonts w:ascii="Times New Roman" w:hAnsi="Times New Roman"/>
          <w:b/>
        </w:rPr>
        <w:t>What to say:</w:t>
      </w:r>
    </w:p>
    <w:p>
      <w:pPr>
        <w:ind w:firstLine="567"/>
      </w:pPr>
      <w:r>
        <w:rPr>
          <w:rFonts w:ascii="Times New Roman" w:hAnsi="Times New Roman"/>
          <w:b w:val="0"/>
          <w:sz w:val="24"/>
        </w:rPr>
        <w:t>Let us define terms. A chemical carcinogen is any chemical agent that increases the probability of cancer in humans or experimental systems. It may damage DNA directly, generate reactive metabolites that form DNA adducts, or create a tissue environment — inflammation, proliferation, immunosuppression — that favors clonal expansion of mutated cells. Carcinogens may be synthetic: industrial solvents, dyes, constituents of tobacco smoke, some pharmaceuticals. They may also be natural: aflatoxin from Aspergillus molds is a Group 1 hepatocarcinogen. Route of exposure shapes organ tropism. Inhalation delivers tobacco smoke, asbestos, and diesel particulates to the lung and airways. Ingestion delivers aflatoxin and nitrosating species to the gut and liver. Dermal absorption mattered historically for chimney soot and some dyes. Iatrogenic exposure occurs with cytotoxic chemotherapy. Risk is not a simple yes or no: dose, duration, metabolic activation, DNA repair capacity, age at exposure, and inherited susceptibility all matter. Latency is usually long — often ten to forty years — so today's cancer may reflect an exposure from early adulthood or even childhood. That latency is why occupational histories must include past jobs, not only the current title. Emphasize that 'carcinogen' is a probabilistic term: exposure raises incidence in a population; it does not mean every exposed person develops cancer. Contrast with corrosive poisons that cause immediate tissue death. Invite one student to name a natural and a synthetic example before you proceed.</w:t>
      </w:r>
    </w:p>
    <w:p>
      <w:pPr>
        <w:pStyle w:val="Heading2"/>
      </w:pPr>
      <w:r>
        <w:t>Slide 4. A brief historical frame</w:t>
      </w:r>
    </w:p>
    <w:p>
      <w:r>
        <w:rPr>
          <w:rFonts w:ascii="Times New Roman" w:hAnsi="Times New Roman"/>
          <w:b/>
        </w:rPr>
        <w:t>Slide cues:</w:t>
      </w:r>
    </w:p>
    <w:p>
      <w:pPr>
        <w:pStyle w:val="ListBullet"/>
      </w:pPr>
      <w:r>
        <w:rPr>
          <w:rFonts w:ascii="Times New Roman" w:hAnsi="Times New Roman"/>
          <w:sz w:val="22"/>
        </w:rPr>
        <w:t>1775 — Percivall Pott: scrotal cancer in chimney sweeps (soot / PAHs)</w:t>
      </w:r>
    </w:p>
    <w:p>
      <w:pPr>
        <w:pStyle w:val="ListBullet"/>
      </w:pPr>
      <w:r>
        <w:rPr>
          <w:rFonts w:ascii="Times New Roman" w:hAnsi="Times New Roman"/>
          <w:sz w:val="22"/>
        </w:rPr>
        <w:t>1895 onward — aniline dye industry and bladder cancer</w:t>
      </w:r>
    </w:p>
    <w:p>
      <w:pPr>
        <w:pStyle w:val="ListBullet"/>
      </w:pPr>
      <w:r>
        <w:rPr>
          <w:rFonts w:ascii="Times New Roman" w:hAnsi="Times New Roman"/>
          <w:sz w:val="22"/>
        </w:rPr>
        <w:t>20th century — experimental skin painting models; initiation–promotion concept</w:t>
      </w:r>
    </w:p>
    <w:p>
      <w:pPr>
        <w:pStyle w:val="ListBullet"/>
      </w:pPr>
      <w:r>
        <w:rPr>
          <w:rFonts w:ascii="Times New Roman" w:hAnsi="Times New Roman"/>
          <w:sz w:val="22"/>
        </w:rPr>
        <w:t>Tobacco epidemiology: the largest human chemical carcinogen story</w:t>
      </w:r>
    </w:p>
    <w:p>
      <w:pPr>
        <w:pStyle w:val="ListBullet"/>
      </w:pPr>
      <w:r>
        <w:rPr>
          <w:rFonts w:ascii="Times New Roman" w:hAnsi="Times New Roman"/>
          <w:sz w:val="22"/>
        </w:rPr>
        <w:t>Today: IARC evaluations, key characteristics of carcinogens, molecular signatures</w:t>
      </w:r>
    </w:p>
    <w:p>
      <w:r>
        <w:rPr>
          <w:rFonts w:ascii="Times New Roman" w:hAnsi="Times New Roman"/>
          <w:b/>
        </w:rPr>
        <w:t>What to say:</w:t>
      </w:r>
    </w:p>
    <w:p>
      <w:pPr>
        <w:ind w:firstLine="567"/>
      </w:pPr>
      <w:r>
        <w:rPr>
          <w:rFonts w:ascii="Times New Roman" w:hAnsi="Times New Roman"/>
          <w:b w:val="0"/>
          <w:sz w:val="24"/>
        </w:rPr>
        <w:t>A short historical frame helps students see that chemical carcinogenesis is not abstract toxicology — it grew from clinical observation. In 1775 Percivall Pott described scrotal cancer in chimney sweeps exposed to soot, an early link between polycyclic aromatic hydrocarbons and human cancer. In the late nineteenth and early twentieth centuries, high rates of bladder cancer in aniline dye workers led to the identification of aromatic amines such as benzidine and 2-naphthylamine. Laboratory skin-painting experiments in rodents established the initiation–promotion model that we still teach. The epidemiology of cigarette smoking then became the largest chemical carcinogenesis story in human history, with dozens of carcinogens in smoke. Today we combine IARC hazard evaluation, the 'key characteristics of carcinogens' framework used in mechanistic reviews, and molecular signatures — for example the aflatoxin-associated TP53 mutation — to connect exposure to tumor biology. History reminds us: careful observation of workers and patients still generates hypotheses that laboratories then prove. If time allows, show how Pott's observation parallels modern pharmacovigilance: clusters of unusual cancers in a defined population still generate hypotheses. Note that experimental initiation–promotion models from the mid-twentieth century remain the scaffold of textbooks even after genomics.</w:t>
      </w:r>
    </w:p>
    <w:p>
      <w:pPr>
        <w:pStyle w:val="Heading2"/>
      </w:pPr>
      <w:r>
        <w:t>Slide 5. Part 1 · Multistage chemical carcinogenesis</w:t>
      </w:r>
    </w:p>
    <w:p>
      <w:r>
        <w:rPr>
          <w:rFonts w:ascii="Times New Roman" w:hAnsi="Times New Roman"/>
          <w:b/>
        </w:rPr>
        <w:t>What to say:</w:t>
      </w:r>
    </w:p>
    <w:p>
      <w:pPr>
        <w:ind w:firstLine="567"/>
      </w:pPr>
      <w:r>
        <w:rPr>
          <w:rFonts w:ascii="Times New Roman" w:hAnsi="Times New Roman"/>
          <w:b w:val="0"/>
          <w:sz w:val="24"/>
        </w:rPr>
        <w:t>We now turn to Part One: the classic three-stage model of chemical carcinogenesis. Initiation, promotion, and progression remain the conceptual backbone for explaining how a chemical converts a normal cell into a malignant clone. Even though modern genomics shows many parallel pathways, this staged language is still the clearest way to teach students and to interpret why removing a promoting exposure can still reduce risk years after initiation has occurred. Spend only about thirty seconds on this section divider, then move into initiation. Write the three words — initiation, promotion, progression — on the board or annotate the slide if you teach interactively.</w:t>
      </w:r>
    </w:p>
    <w:p>
      <w:pPr>
        <w:pStyle w:val="Heading2"/>
      </w:pPr>
      <w:r>
        <w:t>Slide 6. Initiation</w:t>
      </w:r>
    </w:p>
    <w:p>
      <w:r>
        <w:rPr>
          <w:rFonts w:ascii="Times New Roman" w:hAnsi="Times New Roman"/>
          <w:b/>
        </w:rPr>
        <w:t>Slide cues:</w:t>
      </w:r>
    </w:p>
    <w:p>
      <w:pPr>
        <w:pStyle w:val="ListBullet"/>
      </w:pPr>
      <w:r>
        <w:rPr>
          <w:rFonts w:ascii="Times New Roman" w:hAnsi="Times New Roman"/>
          <w:sz w:val="22"/>
        </w:rPr>
        <w:t>Irreversible genetic change in a target cell (mutation, chromosomal alteration)</w:t>
      </w:r>
    </w:p>
    <w:p>
      <w:pPr>
        <w:pStyle w:val="ListBullet"/>
      </w:pPr>
      <w:r>
        <w:rPr>
          <w:rFonts w:ascii="Times New Roman" w:hAnsi="Times New Roman"/>
          <w:sz w:val="22"/>
        </w:rPr>
        <w:t>Often requires metabolic activation to an electrophilic ultimate carcinogen</w:t>
      </w:r>
    </w:p>
    <w:p>
      <w:pPr>
        <w:pStyle w:val="ListBullet"/>
      </w:pPr>
      <w:r>
        <w:rPr>
          <w:rFonts w:ascii="Times New Roman" w:hAnsi="Times New Roman"/>
          <w:sz w:val="22"/>
        </w:rPr>
        <w:t>DNA adducts → mispairing → fixed mutation after replication</w:t>
      </w:r>
    </w:p>
    <w:p>
      <w:pPr>
        <w:pStyle w:val="ListBullet"/>
      </w:pPr>
      <w:r>
        <w:rPr>
          <w:rFonts w:ascii="Times New Roman" w:hAnsi="Times New Roman"/>
          <w:sz w:val="22"/>
        </w:rPr>
        <w:t>One hit is not enough for clinical cancer — initiated cells may remain silent</w:t>
      </w:r>
    </w:p>
    <w:p>
      <w:pPr>
        <w:pStyle w:val="ListBullet"/>
      </w:pPr>
      <w:r>
        <w:rPr>
          <w:rFonts w:ascii="Times New Roman" w:hAnsi="Times New Roman"/>
          <w:sz w:val="22"/>
        </w:rPr>
        <w:t>Initiators are typically genotoxic and dose-dependent for mutation frequency</w:t>
      </w:r>
    </w:p>
    <w:p>
      <w:r>
        <w:rPr>
          <w:rFonts w:ascii="Times New Roman" w:hAnsi="Times New Roman"/>
          <w:b/>
        </w:rPr>
        <w:t>What to say:</w:t>
      </w:r>
    </w:p>
    <w:p>
      <w:pPr>
        <w:ind w:firstLine="567"/>
      </w:pPr>
      <w:r>
        <w:rPr>
          <w:rFonts w:ascii="Times New Roman" w:hAnsi="Times New Roman"/>
          <w:b w:val="0"/>
          <w:sz w:val="24"/>
        </w:rPr>
        <w:t>Initiation is the first irreversible genetic change in a target stem or progenitor cell. Many environmental carcinogens are procarcinogens: they are relatively inert until metabolized — often by cytochrome P450 enzymes in liver or in the target tissue — into electrophilic ultimate carcinogens. Those electrophiles bind covalently to DNA, forming adducts. If nucleotide-excision repair or other pathways remove the adduct before replication, the cell may escape. If replication occurs first, mispairing can fix a permanent mutation. Classic experimental initiators include polycyclic aromatic hydrocarbons and nitrosamines. Initiation is typically genotoxic, and mutation frequency rises with dose, but one mutation does not equal clinical cancer. Initiated cells can remain silent for years. Teaching summary: initiation equals metabolic activation plus DNA damage plus failed repair plus cell division. Without the later stages of promotion and progression, that initiated cell may never form a detectable tumor. Draw a quick sequence: procarcinogen → CYP → ultimate carcinogen → DNA adduct → replication → mutation. Ask whether an initiated cell is already a cancer cell — the correct answer is no. Mention that stem-cell targets matter because only lineages that persist can carry the mutation forward.</w:t>
      </w:r>
    </w:p>
    <w:p>
      <w:pPr>
        <w:pStyle w:val="Heading2"/>
      </w:pPr>
      <w:r>
        <w:t>Slide 7. Promotion and progression</w:t>
      </w:r>
    </w:p>
    <w:p>
      <w:r>
        <w:rPr>
          <w:rFonts w:ascii="Times New Roman" w:hAnsi="Times New Roman"/>
          <w:b/>
        </w:rPr>
        <w:t>Slide cues:</w:t>
      </w:r>
    </w:p>
    <w:p>
      <w:pPr>
        <w:pStyle w:val="ListBullet"/>
      </w:pPr>
      <w:r>
        <w:rPr>
          <w:rFonts w:ascii="Times New Roman" w:hAnsi="Times New Roman"/>
          <w:sz w:val="22"/>
        </w:rPr>
        <w:t>Promotion: clonal expansion of initiated cells; often reversible if exposure stops</w:t>
      </w:r>
    </w:p>
    <w:p>
      <w:pPr>
        <w:pStyle w:val="ListBullet"/>
      </w:pPr>
      <w:r>
        <w:rPr>
          <w:rFonts w:ascii="Times New Roman" w:hAnsi="Times New Roman"/>
          <w:sz w:val="22"/>
        </w:rPr>
        <w:t>Promoters stimulate proliferation, inflammation, or receptor signaling</w:t>
      </w:r>
    </w:p>
    <w:p>
      <w:pPr>
        <w:pStyle w:val="ListBullet"/>
      </w:pPr>
      <w:r>
        <w:rPr>
          <w:rFonts w:ascii="Times New Roman" w:hAnsi="Times New Roman"/>
          <w:sz w:val="22"/>
        </w:rPr>
        <w:t>Progression: additional genetic/epigenetic hits → invasion and metastasis</w:t>
      </w:r>
    </w:p>
    <w:p>
      <w:pPr>
        <w:pStyle w:val="ListBullet"/>
      </w:pPr>
      <w:r>
        <w:rPr>
          <w:rFonts w:ascii="Times New Roman" w:hAnsi="Times New Roman"/>
          <w:sz w:val="22"/>
        </w:rPr>
        <w:t>Complete carcinogens can both initiate and promote (e.g., many PAHs in tobacco)</w:t>
      </w:r>
    </w:p>
    <w:p>
      <w:pPr>
        <w:pStyle w:val="ListBullet"/>
      </w:pPr>
      <w:r>
        <w:rPr>
          <w:rFonts w:ascii="Times New Roman" w:hAnsi="Times New Roman"/>
          <w:sz w:val="22"/>
        </w:rPr>
        <w:t>Incomplete carcinogens need a second agent or sustained proliferative stimulus</w:t>
      </w:r>
    </w:p>
    <w:p>
      <w:r>
        <w:rPr>
          <w:rFonts w:ascii="Times New Roman" w:hAnsi="Times New Roman"/>
          <w:b/>
        </w:rPr>
        <w:t>What to say:</w:t>
      </w:r>
    </w:p>
    <w:p>
      <w:pPr>
        <w:ind w:firstLine="567"/>
      </w:pPr>
      <w:r>
        <w:rPr>
          <w:rFonts w:ascii="Times New Roman" w:hAnsi="Times New Roman"/>
          <w:b w:val="0"/>
          <w:sz w:val="24"/>
        </w:rPr>
        <w:t>Promotion is selective clonal expansion of initiated cells. Promoters are often non-genotoxic. They increase proliferation, suppress apoptosis, activate receptors, or sustain inflammation. In classical mouse skin models, phorbol esters promote after a single initiating dose of a PAH. In humans, chronic inflammation, hormonal drive, obesity-related growth signaling, and repeated cytotoxicity with regenerative proliferation play analogous roles. Promotion is frequently reversible early on: remove the stimulus and the expanded clone may shrink or stabilize. That is one reason smoking cessation still lowers cancer risk after decades of smoking — you interrupt ongoing promotion. Progression is the acquisition of further genetic and epigenetic hits that enable invasion, angiogenesis, immune evasion, and metastasis. Complete carcinogens both initiate and promote; tobacco smoke is a mixture of such agents. Incomplete carcinogens need a second agent. When you counsel patients, this model justifies hope: past initiation is not destiny if we can stop promotion and treat co-factors. Link promotion to everyday counseling: stopping smoking, treating chronic hepatitis, controlling estrogen exposure duration. For progression, stress invasion and metastasis as the clinical turning point. Complete versus incomplete carcinogen is a frequent short-answer item — give a thirty-second recap before leaving the slide.</w:t>
      </w:r>
    </w:p>
    <w:p>
      <w:pPr>
        <w:pStyle w:val="Heading2"/>
      </w:pPr>
      <w:r>
        <w:t>Slide 8. Genotoxic vs non-genotoxic carcinogens</w:t>
      </w:r>
    </w:p>
    <w:p>
      <w:r>
        <w:rPr>
          <w:rFonts w:ascii="Times New Roman" w:hAnsi="Times New Roman"/>
          <w:b/>
        </w:rPr>
        <w:t>Slide cues:</w:t>
      </w:r>
    </w:p>
    <w:p>
      <w:pPr>
        <w:pStyle w:val="ListBullet"/>
      </w:pPr>
      <w:r>
        <w:rPr>
          <w:rFonts w:ascii="Times New Roman" w:hAnsi="Times New Roman"/>
          <w:sz w:val="22"/>
        </w:rPr>
        <w:t>Genotoxic:</w:t>
      </w:r>
    </w:p>
    <w:p>
      <w:pPr>
        <w:pStyle w:val="ListBullet"/>
      </w:pPr>
      <w:r>
        <w:rPr>
          <w:rFonts w:ascii="Times New Roman" w:hAnsi="Times New Roman"/>
          <w:sz w:val="22"/>
        </w:rPr>
        <w:t>– Direct DNA damage or adduct formation</w:t>
      </w:r>
    </w:p>
    <w:p>
      <w:pPr>
        <w:pStyle w:val="ListBullet"/>
      </w:pPr>
      <w:r>
        <w:rPr>
          <w:rFonts w:ascii="Times New Roman" w:hAnsi="Times New Roman"/>
          <w:sz w:val="22"/>
        </w:rPr>
        <w:t>– Mutagenic in short-term assays</w:t>
      </w:r>
    </w:p>
    <w:p>
      <w:pPr>
        <w:pStyle w:val="ListBullet"/>
      </w:pPr>
      <w:r>
        <w:rPr>
          <w:rFonts w:ascii="Times New Roman" w:hAnsi="Times New Roman"/>
          <w:sz w:val="22"/>
        </w:rPr>
        <w:t>– Often no clear threshold (precautionary view)</w:t>
      </w:r>
    </w:p>
    <w:p>
      <w:pPr>
        <w:pStyle w:val="ListBullet"/>
      </w:pPr>
      <w:r>
        <w:rPr>
          <w:rFonts w:ascii="Times New Roman" w:hAnsi="Times New Roman"/>
          <w:sz w:val="22"/>
        </w:rPr>
        <w:t>– Examples: aflatoxin B1, benzo[a]pyrene, nitrosamines, alkylators</w:t>
      </w:r>
    </w:p>
    <w:p>
      <w:pPr>
        <w:pStyle w:val="ListBullet"/>
      </w:pPr>
      <w:r>
        <w:rPr>
          <w:rFonts w:ascii="Times New Roman" w:hAnsi="Times New Roman"/>
          <w:sz w:val="22"/>
        </w:rPr>
        <w:t>Non-genotoxic:</w:t>
      </w:r>
    </w:p>
    <w:p>
      <w:pPr>
        <w:pStyle w:val="ListBullet"/>
      </w:pPr>
      <w:r>
        <w:rPr>
          <w:rFonts w:ascii="Times New Roman" w:hAnsi="Times New Roman"/>
          <w:sz w:val="22"/>
        </w:rPr>
        <w:t>– No primary DNA reactivity</w:t>
      </w:r>
    </w:p>
    <w:p>
      <w:pPr>
        <w:pStyle w:val="ListBullet"/>
      </w:pPr>
      <w:r>
        <w:rPr>
          <w:rFonts w:ascii="Times New Roman" w:hAnsi="Times New Roman"/>
          <w:sz w:val="22"/>
        </w:rPr>
        <w:t>– Act via receptors, cytotoxicity, hormones, epigenetics</w:t>
      </w:r>
    </w:p>
    <w:p>
      <w:pPr>
        <w:pStyle w:val="ListBullet"/>
      </w:pPr>
      <w:r>
        <w:rPr>
          <w:rFonts w:ascii="Times New Roman" w:hAnsi="Times New Roman"/>
          <w:sz w:val="22"/>
        </w:rPr>
        <w:t>– Threshold concept often applies</w:t>
      </w:r>
    </w:p>
    <w:p>
      <w:pPr>
        <w:pStyle w:val="ListBullet"/>
      </w:pPr>
      <w:r>
        <w:rPr>
          <w:rFonts w:ascii="Times New Roman" w:hAnsi="Times New Roman"/>
          <w:sz w:val="22"/>
        </w:rPr>
        <w:t>– Examples: some hormones, phenobarbital (rodent), cyclosporine</w:t>
      </w:r>
    </w:p>
    <w:p>
      <w:r>
        <w:rPr>
          <w:rFonts w:ascii="Times New Roman" w:hAnsi="Times New Roman"/>
          <w:b/>
        </w:rPr>
        <w:t>What to say:</w:t>
      </w:r>
    </w:p>
    <w:p>
      <w:pPr>
        <w:ind w:firstLine="567"/>
      </w:pPr>
      <w:r>
        <w:rPr>
          <w:rFonts w:ascii="Times New Roman" w:hAnsi="Times New Roman"/>
          <w:b w:val="0"/>
          <w:sz w:val="24"/>
        </w:rPr>
        <w:t>This two-column distinction is essential for toxicology and for answering exam questions about thresholds. Genotoxic carcinogens damage DNA directly or through reactive metabolites. They are often positive in mutagenicity assays. In regulatory practice they are frequently treated as having no fully 'safe' threshold, although DNA repair and immune surveillance complicate that picture in living people. Non-genotoxic carcinogens do not primarily attack DNA. They act through sustained cell proliferation, hormonal stimulation, immunosuppression, secondary oxidative stress after cytotoxicity, or epigenetic remodeling. For these, a practical exposure threshold is often accepted — below a certain proliferative or receptor-activating dose, risk may be negligible. Asbestos is a useful border case: the fibers are physical, but chronic inflammation and oxidative DNA damage drive mesothelioma and lung cancer. When public debate asks 'is there a safe level?', listen for whether the agent is being framed as genotoxic or non-genotoxic — that framing drives the answer. Ask the room: 'If an agent is genotoxic, should regulators assume a safe threshold?' Discuss the precautionary answer used in many frameworks, then nuance it with DNA repair. For non-genotoxic agents, use unopposed estrogen as the intuitive example of a proliferative threshold concept.</w:t>
      </w:r>
    </w:p>
    <w:p>
      <w:pPr>
        <w:pStyle w:val="Heading2"/>
      </w:pPr>
      <w:r>
        <w:t>Slide 9. Part 2 · Classification and mechanisms</w:t>
      </w:r>
    </w:p>
    <w:p>
      <w:r>
        <w:rPr>
          <w:rFonts w:ascii="Times New Roman" w:hAnsi="Times New Roman"/>
          <w:b/>
        </w:rPr>
        <w:t>What to say:</w:t>
      </w:r>
    </w:p>
    <w:p>
      <w:pPr>
        <w:ind w:firstLine="567"/>
      </w:pPr>
      <w:r>
        <w:rPr>
          <w:rFonts w:ascii="Times New Roman" w:hAnsi="Times New Roman"/>
          <w:b w:val="0"/>
          <w:sz w:val="24"/>
        </w:rPr>
        <w:t>Part Two covers how agencies classify carcinogens — especially the IARC system you will see cited in guidelines and news stories — and the cellular mechanisms that convert chemical exposure into the hallmarks of malignancy. Classification tells us about hazard; mechanisms tell us how biology gets from molecule to mutation to tumor. Transition language: 'We leave the staged model and ask how agencies label agents and how molecules actually break cellular defenses.'</w:t>
      </w:r>
    </w:p>
    <w:p>
      <w:pPr>
        <w:pStyle w:val="Heading2"/>
      </w:pPr>
      <w:r>
        <w:t>Slide 10. IARC classification (WHO)</w:t>
      </w:r>
    </w:p>
    <w:p>
      <w:r>
        <w:rPr>
          <w:rFonts w:ascii="Times New Roman" w:hAnsi="Times New Roman"/>
          <w:b/>
        </w:rPr>
        <w:t>Slide cues:</w:t>
      </w:r>
    </w:p>
    <w:p>
      <w:pPr>
        <w:pStyle w:val="ListBullet"/>
      </w:pPr>
      <w:r>
        <w:rPr>
          <w:rFonts w:ascii="Times New Roman" w:hAnsi="Times New Roman"/>
          <w:sz w:val="22"/>
        </w:rPr>
        <w:t>Group 1 — Carcinogenic to humans (sufficient human evidence)</w:t>
      </w:r>
    </w:p>
    <w:p>
      <w:pPr>
        <w:pStyle w:val="ListBullet"/>
      </w:pPr>
      <w:r>
        <w:rPr>
          <w:rFonts w:ascii="Times New Roman" w:hAnsi="Times New Roman"/>
          <w:sz w:val="22"/>
        </w:rPr>
        <w:t>Group 2A — Probably carcinogenic (limited human + sufficient animal, or strong mechanism)</w:t>
      </w:r>
    </w:p>
    <w:p>
      <w:pPr>
        <w:pStyle w:val="ListBullet"/>
      </w:pPr>
      <w:r>
        <w:rPr>
          <w:rFonts w:ascii="Times New Roman" w:hAnsi="Times New Roman"/>
          <w:sz w:val="22"/>
        </w:rPr>
        <w:t>Group 2B — Possibly carcinogenic (limited evidence)</w:t>
      </w:r>
    </w:p>
    <w:p>
      <w:pPr>
        <w:pStyle w:val="ListBullet"/>
      </w:pPr>
      <w:r>
        <w:rPr>
          <w:rFonts w:ascii="Times New Roman" w:hAnsi="Times New Roman"/>
          <w:sz w:val="22"/>
        </w:rPr>
        <w:t>Group 3 — Not classifiable</w:t>
      </w:r>
    </w:p>
    <w:p>
      <w:pPr>
        <w:pStyle w:val="ListBullet"/>
      </w:pPr>
      <w:r>
        <w:rPr>
          <w:rFonts w:ascii="Times New Roman" w:hAnsi="Times New Roman"/>
          <w:sz w:val="22"/>
        </w:rPr>
        <w:t>Classification is hazard-based: 'can it cause cancer?', not 'how much risk at typical doses?'</w:t>
      </w:r>
    </w:p>
    <w:p>
      <w:r>
        <w:rPr>
          <w:rFonts w:ascii="Times New Roman" w:hAnsi="Times New Roman"/>
          <w:b/>
        </w:rPr>
        <w:t>What to say:</w:t>
      </w:r>
    </w:p>
    <w:p>
      <w:pPr>
        <w:ind w:firstLine="567"/>
      </w:pPr>
      <w:r>
        <w:rPr>
          <w:rFonts w:ascii="Times New Roman" w:hAnsi="Times New Roman"/>
          <w:b w:val="0"/>
          <w:sz w:val="24"/>
        </w:rPr>
        <w:t>The International Agency for Research on Cancer, part of WHO, evaluates agents for carcinogenic hazard to humans. Group 1 means carcinogenic to humans — sufficient evidence in humans. Examples include tobacco smoke, asbestos, aflatoxin, benzene, arsenic, formaldehyde, processed meat, and alcoholic beverages. Group 2A means probably carcinogenic — typically limited human evidence plus sufficient animal evidence, or strong mechanistic data. Group 2B means possibly carcinogenic. Group 3 means not classifiable with current evidence. Stress this repeatedly: IARC answers 'Can this agent cause cancer?' It does not answer 'How large is the risk from a typical serving or a typical workplace day?' Calling processed meat Group 1 does not make a bacon sandwich equivalent to a pack of cigarettes. Dose, frequency, and context determine individual absolute risk. When patients panic about a headline, your job is to translate hazard classification into proportionate risk communication. Walk through one headline example students have seen — processed meat or mobile phones myths versus real Group 1 agents. Clarify that mobile phones are not the point here; bring them back to tobacco, asbestos, alcohol, aflatoxin. Practice one sentence of risk communication aloud: 'Group 1 means the evidence is strong, not that your personal risk from a small exposure equals smoking.'</w:t>
      </w:r>
    </w:p>
    <w:p>
      <w:pPr>
        <w:pStyle w:val="Heading2"/>
      </w:pPr>
      <w:r>
        <w:t>Slide 11. Key molecular mechanisms</w:t>
      </w:r>
    </w:p>
    <w:p>
      <w:r>
        <w:rPr>
          <w:rFonts w:ascii="Times New Roman" w:hAnsi="Times New Roman"/>
          <w:b/>
        </w:rPr>
        <w:t>Slide cues:</w:t>
      </w:r>
    </w:p>
    <w:p>
      <w:pPr>
        <w:pStyle w:val="ListBullet"/>
      </w:pPr>
      <w:r>
        <w:rPr>
          <w:rFonts w:ascii="Times New Roman" w:hAnsi="Times New Roman"/>
          <w:sz w:val="22"/>
        </w:rPr>
        <w:t>DNA adducts and base mispairing → point mutations</w:t>
      </w:r>
    </w:p>
    <w:p>
      <w:pPr>
        <w:pStyle w:val="ListBullet"/>
      </w:pPr>
      <w:r>
        <w:rPr>
          <w:rFonts w:ascii="Times New Roman" w:hAnsi="Times New Roman"/>
          <w:sz w:val="22"/>
        </w:rPr>
        <w:t>Oxidative stress (ROS) → 8-oxoguanine and strand breaks</w:t>
      </w:r>
    </w:p>
    <w:p>
      <w:pPr>
        <w:pStyle w:val="ListBullet"/>
      </w:pPr>
      <w:r>
        <w:rPr>
          <w:rFonts w:ascii="Times New Roman" w:hAnsi="Times New Roman"/>
          <w:sz w:val="22"/>
        </w:rPr>
        <w:t>Chromosomal instability and aneuploidy</w:t>
      </w:r>
    </w:p>
    <w:p>
      <w:pPr>
        <w:pStyle w:val="ListBullet"/>
      </w:pPr>
      <w:r>
        <w:rPr>
          <w:rFonts w:ascii="Times New Roman" w:hAnsi="Times New Roman"/>
          <w:sz w:val="22"/>
        </w:rPr>
        <w:t>Epigenetic change: DNA methylation, histone modification, miRNA</w:t>
      </w:r>
    </w:p>
    <w:p>
      <w:pPr>
        <w:pStyle w:val="ListBullet"/>
      </w:pPr>
      <w:r>
        <w:rPr>
          <w:rFonts w:ascii="Times New Roman" w:hAnsi="Times New Roman"/>
          <w:sz w:val="22"/>
        </w:rPr>
        <w:t>Receptor-mediated growth (AhR, estrogen receptor, PPAR)</w:t>
      </w:r>
    </w:p>
    <w:p>
      <w:pPr>
        <w:pStyle w:val="ListBullet"/>
      </w:pPr>
      <w:r>
        <w:rPr>
          <w:rFonts w:ascii="Times New Roman" w:hAnsi="Times New Roman"/>
          <w:sz w:val="22"/>
        </w:rPr>
        <w:t>Chronic inflammation and immune evasion</w:t>
      </w:r>
    </w:p>
    <w:p>
      <w:r>
        <w:rPr>
          <w:rFonts w:ascii="Times New Roman" w:hAnsi="Times New Roman"/>
          <w:b/>
        </w:rPr>
        <w:t>What to say:</w:t>
      </w:r>
    </w:p>
    <w:p>
      <w:pPr>
        <w:ind w:firstLine="567"/>
      </w:pPr>
      <w:r>
        <w:rPr>
          <w:rFonts w:ascii="Times New Roman" w:hAnsi="Times New Roman"/>
          <w:b w:val="0"/>
          <w:sz w:val="24"/>
        </w:rPr>
        <w:t>Several molecular pathways connect chemicals to the hallmarks of cancer. First, electrophilic metabolites form covalent DNA adducts; during replication these yield point mutations. Aflatoxin B1 and the TP53 codon 249 mutation in hepatocellular carcinoma is a textbook signature. Second, reactive oxygen and nitrogen species — from inflammation or metal-catalyzed redox cycling — produce lesions such as 8-oxoguanine and DNA strand breaks. Third, some agents disrupt the mitotic apparatus and cause chromosomal instability or aneuploidy. Fourth, epigenetic carcinogens alter DNA methylation, histone marks, or microRNA networks, silencing tumor suppressors without changing the base sequence. Fifth, ligands of the aryl hydrocarbon receptor, estrogen receptor, or PPARs can drive proliferation and promotion. Sixth, chronic inflammation creates a microenvironment rich in growth factors and immunosuppressive signals. Real-world agents rarely use only one pathway; tobacco smoke, for example, delivers adduct-forming PAHs and nitrosamines plus oxidative and inflammatory stress. When you read a paper on 'key characteristics of carcinogens,' these are the mechanistic categories being inventoried. Map mechanisms to hallmarks quickly: adducts and mutations → genomic instability; hormones and AhR → sustaining proliferation; inflammation → tumor-promoting inflammation; epigenetics → enabling characteristics. This helps students who have already learned Hanahan's hallmarks.</w:t>
      </w:r>
    </w:p>
    <w:p>
      <w:pPr>
        <w:pStyle w:val="Heading2"/>
      </w:pPr>
      <w:r>
        <w:t>Slide 12. Metabolic activation and detoxification</w:t>
      </w:r>
    </w:p>
    <w:p>
      <w:r>
        <w:rPr>
          <w:rFonts w:ascii="Times New Roman" w:hAnsi="Times New Roman"/>
          <w:b/>
        </w:rPr>
        <w:t>Slide cues:</w:t>
      </w:r>
    </w:p>
    <w:p>
      <w:pPr>
        <w:pStyle w:val="ListBullet"/>
      </w:pPr>
      <w:r>
        <w:rPr>
          <w:rFonts w:ascii="Times New Roman" w:hAnsi="Times New Roman"/>
          <w:sz w:val="22"/>
        </w:rPr>
        <w:t>Phase I (CYP450): often creates reactive intermediates</w:t>
      </w:r>
    </w:p>
    <w:p>
      <w:pPr>
        <w:pStyle w:val="ListBullet"/>
      </w:pPr>
      <w:r>
        <w:rPr>
          <w:rFonts w:ascii="Times New Roman" w:hAnsi="Times New Roman"/>
          <w:sz w:val="22"/>
        </w:rPr>
        <w:t>Phase II (GST, UDP-glucuronosyltransferase, N-acetyltransferase): conjugation/detox</w:t>
      </w:r>
    </w:p>
    <w:p>
      <w:pPr>
        <w:pStyle w:val="ListBullet"/>
      </w:pPr>
      <w:r>
        <w:rPr>
          <w:rFonts w:ascii="Times New Roman" w:hAnsi="Times New Roman"/>
          <w:sz w:val="22"/>
        </w:rPr>
        <w:t>Balance of activation vs detox determines tissue risk</w:t>
      </w:r>
    </w:p>
    <w:p>
      <w:pPr>
        <w:pStyle w:val="ListBullet"/>
      </w:pPr>
      <w:r>
        <w:rPr>
          <w:rFonts w:ascii="Times New Roman" w:hAnsi="Times New Roman"/>
          <w:sz w:val="22"/>
        </w:rPr>
        <w:t>Genetic polymorphisms (e.g., NAT2, GSTM1) modify susceptibility</w:t>
      </w:r>
    </w:p>
    <w:p>
      <w:pPr>
        <w:pStyle w:val="ListBullet"/>
      </w:pPr>
      <w:r>
        <w:rPr>
          <w:rFonts w:ascii="Times New Roman" w:hAnsi="Times New Roman"/>
          <w:sz w:val="22"/>
        </w:rPr>
        <w:t>Target organs often reflect local metabolism and exposure route</w:t>
      </w:r>
    </w:p>
    <w:p>
      <w:r>
        <w:rPr>
          <w:rFonts w:ascii="Times New Roman" w:hAnsi="Times New Roman"/>
          <w:b/>
        </w:rPr>
        <w:t>What to say:</w:t>
      </w:r>
    </w:p>
    <w:p>
      <w:pPr>
        <w:ind w:firstLine="567"/>
      </w:pPr>
      <w:r>
        <w:rPr>
          <w:rFonts w:ascii="Times New Roman" w:hAnsi="Times New Roman"/>
          <w:b w:val="0"/>
          <w:sz w:val="24"/>
        </w:rPr>
        <w:t>Metabolism is central. Most chemical carcinogens require bioactivation. Phase I enzymes, especially cytochrome P450 isoforms CYP1A1, CYP1A2, CYP2E1, and CYP3A4, oxidize many procarcinogens to reactive intermediates. Phase II enzymes — glutathione S-transferases, UDP-glucuronosyltransferases, sulfotransferases, N-acetyltransferases — usually conjugate and detoxify, facilitating excretion. When activation outpaces detoxification, DNA damage accumulates. Genetic polymorphisms create susceptible subgroups: slow NAT2 acetylators had higher bladder cancer risk from aromatic amines; GSTM1-null individuals may handle certain tobacco-related electrophiles less efficiently. Organ specificity often follows where the ultimate carcinogen is formed or concentrated. Aromatic amine metabolites reach the bladder in urine; aflatoxin epoxide forms in hepatocytes; inhaled PAHs and asbestos act in the lung. Inducers and inhibitors of CYPs — including diet, smoking, and drugs — can theoretically shift this balance, though clinical prediction for an individual remains imperfect. Sketch Phase I versus Phase II as a seesaw. Mention that grapefruit juice and enzyme inducers are pharmacology asides, not the main story. End with organ tropism: 'Where the reactive species is born or delivered is where the cancer tends to appear.'</w:t>
      </w:r>
    </w:p>
    <w:p>
      <w:pPr>
        <w:pStyle w:val="Heading2"/>
      </w:pPr>
      <w:r>
        <w:t>Slide 13. Part 3 · Major chemical carcinogen classes</w:t>
      </w:r>
    </w:p>
    <w:p>
      <w:r>
        <w:rPr>
          <w:rFonts w:ascii="Times New Roman" w:hAnsi="Times New Roman"/>
          <w:b/>
        </w:rPr>
        <w:t>What to say:</w:t>
      </w:r>
    </w:p>
    <w:p>
      <w:pPr>
        <w:ind w:firstLine="567"/>
      </w:pPr>
      <w:r>
        <w:rPr>
          <w:rFonts w:ascii="Times New Roman" w:hAnsi="Times New Roman"/>
          <w:b w:val="0"/>
          <w:sz w:val="24"/>
        </w:rPr>
        <w:t>Part Three is the catalog you need for exams and for clinical pattern recognition. We will walk through polycyclic aromatic hydrocarbons, aromatic amines, N-nitroso compounds, aflatoxins, metals and asbestos-related fiber carcinogenesis, alkylating agents including anticancer drugs, and hormonal carcinogens. For each class, remember the prototype agent, the main exposure setting, and the signature cancer site. Tell students this catalog is the scoring section of most exams. Suggest a two-column notebook page: agent on the left, cancer and exposure on the right, to fill as you talk.</w:t>
      </w:r>
    </w:p>
    <w:p>
      <w:pPr>
        <w:pStyle w:val="Heading2"/>
      </w:pPr>
      <w:r>
        <w:t>Slide 14. Polycyclic aromatic hydrocarbons (PAHs)</w:t>
      </w:r>
    </w:p>
    <w:p>
      <w:r>
        <w:rPr>
          <w:rFonts w:ascii="Times New Roman" w:hAnsi="Times New Roman"/>
          <w:b/>
        </w:rPr>
        <w:t>Slide cues:</w:t>
      </w:r>
    </w:p>
    <w:p>
      <w:pPr>
        <w:pStyle w:val="ListBullet"/>
      </w:pPr>
      <w:r>
        <w:rPr>
          <w:rFonts w:ascii="Times New Roman" w:hAnsi="Times New Roman"/>
          <w:sz w:val="22"/>
        </w:rPr>
        <w:t>Formed by incomplete combustion: tobacco, grilled food, diesel exhaust, coal tar</w:t>
      </w:r>
    </w:p>
    <w:p>
      <w:pPr>
        <w:pStyle w:val="ListBullet"/>
      </w:pPr>
      <w:r>
        <w:rPr>
          <w:rFonts w:ascii="Times New Roman" w:hAnsi="Times New Roman"/>
          <w:sz w:val="22"/>
        </w:rPr>
        <w:t>Prototype: benzo[a]pyrene → diol-epoxide DNA adducts</w:t>
      </w:r>
    </w:p>
    <w:p>
      <w:pPr>
        <w:pStyle w:val="ListBullet"/>
      </w:pPr>
      <w:r>
        <w:rPr>
          <w:rFonts w:ascii="Times New Roman" w:hAnsi="Times New Roman"/>
          <w:sz w:val="22"/>
        </w:rPr>
        <w:t>Associated cancers: lung, skin, bladder; contribution to others</w:t>
      </w:r>
    </w:p>
    <w:p>
      <w:pPr>
        <w:pStyle w:val="ListBullet"/>
      </w:pPr>
      <w:r>
        <w:rPr>
          <w:rFonts w:ascii="Times New Roman" w:hAnsi="Times New Roman"/>
          <w:sz w:val="22"/>
        </w:rPr>
        <w:t>Occupational: coke oven, aluminum smelting; historical chimney sweeping</w:t>
      </w:r>
    </w:p>
    <w:p>
      <w:pPr>
        <w:pStyle w:val="ListBullet"/>
      </w:pPr>
      <w:r>
        <w:rPr>
          <w:rFonts w:ascii="Times New Roman" w:hAnsi="Times New Roman"/>
          <w:sz w:val="22"/>
        </w:rPr>
        <w:t>AhR activation contributes to promotion alongside genotoxicity</w:t>
      </w:r>
    </w:p>
    <w:p>
      <w:r>
        <w:rPr>
          <w:rFonts w:ascii="Times New Roman" w:hAnsi="Times New Roman"/>
          <w:b/>
        </w:rPr>
        <w:t>What to say:</w:t>
      </w:r>
    </w:p>
    <w:p>
      <w:pPr>
        <w:ind w:firstLine="567"/>
      </w:pPr>
      <w:r>
        <w:rPr>
          <w:rFonts w:ascii="Times New Roman" w:hAnsi="Times New Roman"/>
          <w:b w:val="0"/>
          <w:sz w:val="24"/>
        </w:rPr>
        <w:t>Polycyclic aromatic hydrocarbons form whenever organic material burns incompletely. Tobacco smoke is the dominant population source; others include diesel exhaust, coal tar, industrial combustion, and charred foods. Benzo[a]pyrene is the teaching prototype. Cytochrome P450 oxidation produces a bay-region diol-epoxide that forms bulky adducts, preferentially at guanine. Unrepaired adducts yield mutations in oncogenes and tumor suppressors. Associated cancers include lung and skin; PAHs also contribute to bladder cancer risk in smokers. Occupational groups at historic high risk include coke-oven workers, aluminum smelter workers, and, in Pott's era, chimney sweeps. PAHs also activate the aryl hydrocarbon receptor, so they illustrate both initiation and promotion within one chemical family. When patients ask about burnt meat, be honest: grilling forms PAHs, but the absolute risk from occasional dietary exposure is far smaller than from smoking. Proportionate counseling matters. Optional aside: urban air pollution contains PAHs adsorbed on particulates — a bridge to the later environmental slide. Reiterate proportionate counseling on grilled food versus smoking so students do not leave with dietary panic.</w:t>
      </w:r>
    </w:p>
    <w:p>
      <w:pPr>
        <w:pStyle w:val="Heading2"/>
      </w:pPr>
      <w:r>
        <w:t>Slide 15. Aromatic amines and azo dyes</w:t>
      </w:r>
    </w:p>
    <w:p>
      <w:r>
        <w:rPr>
          <w:rFonts w:ascii="Times New Roman" w:hAnsi="Times New Roman"/>
          <w:b/>
        </w:rPr>
        <w:t>Slide cues:</w:t>
      </w:r>
    </w:p>
    <w:p>
      <w:pPr>
        <w:pStyle w:val="ListBullet"/>
      </w:pPr>
      <w:r>
        <w:rPr>
          <w:rFonts w:ascii="Times New Roman" w:hAnsi="Times New Roman"/>
          <w:sz w:val="22"/>
        </w:rPr>
        <w:t>Classic bladder carcinogens: benzidine, 2-naphthylamine, 4-aminobiphenyl</w:t>
      </w:r>
    </w:p>
    <w:p>
      <w:pPr>
        <w:pStyle w:val="ListBullet"/>
      </w:pPr>
      <w:r>
        <w:rPr>
          <w:rFonts w:ascii="Times New Roman" w:hAnsi="Times New Roman"/>
          <w:sz w:val="22"/>
        </w:rPr>
        <w:t>Historical dye, rubber, and chemical industry exposures</w:t>
      </w:r>
    </w:p>
    <w:p>
      <w:pPr>
        <w:pStyle w:val="ListBullet"/>
      </w:pPr>
      <w:r>
        <w:rPr>
          <w:rFonts w:ascii="Times New Roman" w:hAnsi="Times New Roman"/>
          <w:sz w:val="22"/>
        </w:rPr>
        <w:t>Metabolic path: N-hydroxylation → reactive esters → urothelial DNA adducts</w:t>
      </w:r>
    </w:p>
    <w:p>
      <w:pPr>
        <w:pStyle w:val="ListBullet"/>
      </w:pPr>
      <w:r>
        <w:rPr>
          <w:rFonts w:ascii="Times New Roman" w:hAnsi="Times New Roman"/>
          <w:sz w:val="22"/>
        </w:rPr>
        <w:t>Cigarette smoke also contains 4-aminobiphenyl</w:t>
      </w:r>
    </w:p>
    <w:p>
      <w:pPr>
        <w:pStyle w:val="ListBullet"/>
      </w:pPr>
      <w:r>
        <w:rPr>
          <w:rFonts w:ascii="Times New Roman" w:hAnsi="Times New Roman"/>
          <w:sz w:val="22"/>
        </w:rPr>
        <w:t>Clinical pearl: ask about dye/rubber work in unexplained urothelial carcinoma</w:t>
      </w:r>
    </w:p>
    <w:p>
      <w:r>
        <w:rPr>
          <w:rFonts w:ascii="Times New Roman" w:hAnsi="Times New Roman"/>
          <w:b/>
        </w:rPr>
        <w:t>What to say:</w:t>
      </w:r>
    </w:p>
    <w:p>
      <w:pPr>
        <w:ind w:firstLine="567"/>
      </w:pPr>
      <w:r>
        <w:rPr>
          <w:rFonts w:ascii="Times New Roman" w:hAnsi="Times New Roman"/>
          <w:b w:val="0"/>
          <w:sz w:val="24"/>
        </w:rPr>
        <w:t>Aromatic amines are the classic chemical cause of occupational bladder cancer. Benzidine and 2-naphthylamine were used in dye manufacture; recognition of risk led to bans and strict controls in many countries, but legacy contamination and informal industry still matter globally. After hepatic N-hydroxylation, metabolites travel to the bladder; acidic urine and further metabolism generate electrophiles that adduct DNA in urothelial cells. Slow acetylators historically fared worse. Cigarette smoke contains 4-aminobiphenyl, which helps explain the smoking–bladder cancer association beyond PAHs alone. Clinical pearl: in urothelial carcinoma — especially in younger patients or never-heavy-smokers — ask specifically about dye, rubber, leather, and chemical plant work, including jobs held decades earlier. Document the timeline. Occupational bladder cancer remains a medicolegal and prevention issue, not only a textbook anecdote. Role-play one history question: 'Have you ever worked with dyes, rubber, or chemical powders?' Mention that some azo dyes can be metabolically cleaved to aromatic amines. If your audience includes urology or oncology trainees, note that occupational history still appears in bladder cancer checklists.</w:t>
      </w:r>
    </w:p>
    <w:p>
      <w:pPr>
        <w:pStyle w:val="Heading2"/>
      </w:pPr>
      <w:r>
        <w:t>Slide 16. N-nitroso compounds</w:t>
      </w:r>
    </w:p>
    <w:p>
      <w:r>
        <w:rPr>
          <w:rFonts w:ascii="Times New Roman" w:hAnsi="Times New Roman"/>
          <w:b/>
        </w:rPr>
        <w:t>Slide cues:</w:t>
      </w:r>
    </w:p>
    <w:p>
      <w:pPr>
        <w:pStyle w:val="ListBullet"/>
      </w:pPr>
      <w:r>
        <w:rPr>
          <w:rFonts w:ascii="Times New Roman" w:hAnsi="Times New Roman"/>
          <w:sz w:val="22"/>
        </w:rPr>
        <w:t>Nitrosamines and nitrosamides — potent experimental carcinogens</w:t>
      </w:r>
    </w:p>
    <w:p>
      <w:pPr>
        <w:pStyle w:val="ListBullet"/>
      </w:pPr>
      <w:r>
        <w:rPr>
          <w:rFonts w:ascii="Times New Roman" w:hAnsi="Times New Roman"/>
          <w:sz w:val="22"/>
        </w:rPr>
        <w:t>Formed endogenously from nitrite + amines; also in tobacco and some processed foods</w:t>
      </w:r>
    </w:p>
    <w:p>
      <w:pPr>
        <w:pStyle w:val="ListBullet"/>
      </w:pPr>
      <w:r>
        <w:rPr>
          <w:rFonts w:ascii="Times New Roman" w:hAnsi="Times New Roman"/>
          <w:sz w:val="22"/>
        </w:rPr>
        <w:t>Organotropism depends on structure (esophagus, stomach, liver, lung)</w:t>
      </w:r>
    </w:p>
    <w:p>
      <w:pPr>
        <w:pStyle w:val="ListBullet"/>
      </w:pPr>
      <w:r>
        <w:rPr>
          <w:rFonts w:ascii="Times New Roman" w:hAnsi="Times New Roman"/>
          <w:sz w:val="22"/>
        </w:rPr>
        <w:t>NDMA impurities in medicines: a modern pharmacovigilance lesson</w:t>
      </w:r>
    </w:p>
    <w:p>
      <w:pPr>
        <w:pStyle w:val="ListBullet"/>
      </w:pPr>
      <w:r>
        <w:rPr>
          <w:rFonts w:ascii="Times New Roman" w:hAnsi="Times New Roman"/>
          <w:sz w:val="22"/>
        </w:rPr>
        <w:t>Vitamin C and other agents can inhibit gastric nitrosation</w:t>
      </w:r>
    </w:p>
    <w:p>
      <w:r>
        <w:rPr>
          <w:rFonts w:ascii="Times New Roman" w:hAnsi="Times New Roman"/>
          <w:b/>
        </w:rPr>
        <w:t>What to say:</w:t>
      </w:r>
    </w:p>
    <w:p>
      <w:pPr>
        <w:ind w:firstLine="567"/>
      </w:pPr>
      <w:r>
        <w:rPr>
          <w:rFonts w:ascii="Times New Roman" w:hAnsi="Times New Roman"/>
          <w:b w:val="0"/>
          <w:sz w:val="24"/>
        </w:rPr>
        <w:t>N-nitroso compounds include nitrosamines and nitrosamides and are among the most potent carcinogens in animal models. They form endogenously when nitrite — from cured meats or salivary nitrate reduction — reacts with secondary amines, especially in acidic gastric conditions. Tobacco-specific nitrosamines such as NNK are major lung carcinogens in smokers. Different structures show striking organotropism: esophagus, stomach, liver, or lung, depending on metabolism. A modern teaching bridge is the detection of NDMA impurities in some sartan antihypertensive drugs and in ranitidine products — a reminder that chemical carcinogenesis concepts apply to pharmacovigilance, not only to factory smoke. Ascorbate and certain dietary components inhibit nitrosation, which partly explains interest in fresh fruit and vegetable intake in gastric cancer prevention research. Again, communicate absolute risk carefully: endogenous nitrosation is one contributor among many to gastric cancer, alongside Helicobacter pylori and salt-preserved foods in some populations. Connect processed meat, tobacco, and the NDMA drug recalls as three exposure worlds sharing one chemistry. For gastric cancer, remind them Helicobacter pylori remains the dominant infectious driver in many regions — nitrosamines are contributory, not solo.</w:t>
      </w:r>
    </w:p>
    <w:p>
      <w:pPr>
        <w:pStyle w:val="Heading2"/>
      </w:pPr>
      <w:r>
        <w:t>Slide 17. Aflatoxins</w:t>
      </w:r>
    </w:p>
    <w:p>
      <w:r>
        <w:rPr>
          <w:rFonts w:ascii="Times New Roman" w:hAnsi="Times New Roman"/>
          <w:b/>
        </w:rPr>
        <w:t>Slide cues:</w:t>
      </w:r>
    </w:p>
    <w:p>
      <w:pPr>
        <w:pStyle w:val="ListBullet"/>
      </w:pPr>
      <w:r>
        <w:rPr>
          <w:rFonts w:ascii="Times New Roman" w:hAnsi="Times New Roman"/>
          <w:sz w:val="22"/>
        </w:rPr>
        <w:t>Mycotoxins from Aspergillus flavus / parasiticus on poorly stored crops</w:t>
      </w:r>
    </w:p>
    <w:p>
      <w:pPr>
        <w:pStyle w:val="ListBullet"/>
      </w:pPr>
      <w:r>
        <w:rPr>
          <w:rFonts w:ascii="Times New Roman" w:hAnsi="Times New Roman"/>
          <w:sz w:val="22"/>
        </w:rPr>
        <w:t>Aflatoxin B1: Group 1 hepatocarcinogen; requires CYP activation</w:t>
      </w:r>
    </w:p>
    <w:p>
      <w:pPr>
        <w:pStyle w:val="ListBullet"/>
      </w:pPr>
      <w:r>
        <w:rPr>
          <w:rFonts w:ascii="Times New Roman" w:hAnsi="Times New Roman"/>
          <w:sz w:val="22"/>
        </w:rPr>
        <w:t>Signature mutation: TP53 R249S in hepatocellular carcinoma</w:t>
      </w:r>
    </w:p>
    <w:p>
      <w:pPr>
        <w:pStyle w:val="ListBullet"/>
      </w:pPr>
      <w:r>
        <w:rPr>
          <w:rFonts w:ascii="Times New Roman" w:hAnsi="Times New Roman"/>
          <w:sz w:val="22"/>
        </w:rPr>
        <w:t>Synergism with chronic hepatitis B — multiplicative risk</w:t>
      </w:r>
    </w:p>
    <w:p>
      <w:pPr>
        <w:pStyle w:val="ListBullet"/>
      </w:pPr>
      <w:r>
        <w:rPr>
          <w:rFonts w:ascii="Times New Roman" w:hAnsi="Times New Roman"/>
          <w:sz w:val="22"/>
        </w:rPr>
        <w:t>Prevention: crop storage, food safety, HBV vaccination</w:t>
      </w:r>
    </w:p>
    <w:p>
      <w:r>
        <w:rPr>
          <w:rFonts w:ascii="Times New Roman" w:hAnsi="Times New Roman"/>
          <w:b/>
        </w:rPr>
        <w:t>What to say:</w:t>
      </w:r>
    </w:p>
    <w:p>
      <w:pPr>
        <w:ind w:firstLine="567"/>
      </w:pPr>
      <w:r>
        <w:rPr>
          <w:rFonts w:ascii="Times New Roman" w:hAnsi="Times New Roman"/>
          <w:b w:val="0"/>
          <w:sz w:val="24"/>
        </w:rPr>
        <w:t>Aflatoxin B1 is a Group 1 hepatocarcinogen produced by Aspergillus flavus and parasiticus on maize, peanuts, and other crops stored in warm, humid conditions. After CYP3A4 activation, the exo-epoxide forms a guanine adduct. Faulty processing yields a characteristic G-to-T transversion at TP53 codon 249 — the R249S mutation enriched in aflatoxin-endemic hepatocellular carcinoma. Risk multiplies when aflatoxin exposure coexists with chronic hepatitis B infection: the virus provides chronic hepatitis and genomic instability while aflatoxin provides a potent initiating mutation. This is one of the clearest intersections of chemical and infectious carcinogenesis. Prevention is dual: improve crop drying and storage and enforce food safety limits, and vaccinate against HBV. For clinicians in or from endemic regions, ask about dietary staples and storage conditions when discussing HCC risk, and never miss the chance to check hepatitis B status. Geography matters: discuss regions with warm humid storage and staple maize or peanuts. Show why HBV vaccination is a chemical-carcinogen control strategy even though the vaccine targets a virus — it removes the synergistic promoter.</w:t>
      </w:r>
    </w:p>
    <w:p>
      <w:pPr>
        <w:pStyle w:val="Heading2"/>
      </w:pPr>
      <w:r>
        <w:t>Slide 18. Metals, arsenic, and asbestos</w:t>
      </w:r>
    </w:p>
    <w:p>
      <w:r>
        <w:rPr>
          <w:rFonts w:ascii="Times New Roman" w:hAnsi="Times New Roman"/>
          <w:b/>
        </w:rPr>
        <w:t>Slide cues:</w:t>
      </w:r>
    </w:p>
    <w:p>
      <w:pPr>
        <w:pStyle w:val="ListBullet"/>
      </w:pPr>
      <w:r>
        <w:rPr>
          <w:rFonts w:ascii="Times New Roman" w:hAnsi="Times New Roman"/>
          <w:sz w:val="22"/>
        </w:rPr>
        <w:t>Arsenic (water, mining): skin, lung, bladder cancer</w:t>
      </w:r>
    </w:p>
    <w:p>
      <w:pPr>
        <w:pStyle w:val="ListBullet"/>
      </w:pPr>
      <w:r>
        <w:rPr>
          <w:rFonts w:ascii="Times New Roman" w:hAnsi="Times New Roman"/>
          <w:sz w:val="22"/>
        </w:rPr>
        <w:t>Hexavalent chromium and nickel: lung / nasal cancer (occupational)</w:t>
      </w:r>
    </w:p>
    <w:p>
      <w:pPr>
        <w:pStyle w:val="ListBullet"/>
      </w:pPr>
      <w:r>
        <w:rPr>
          <w:rFonts w:ascii="Times New Roman" w:hAnsi="Times New Roman"/>
          <w:sz w:val="22"/>
        </w:rPr>
        <w:t>Cadmium: lung cancer; possible other sites</w:t>
      </w:r>
    </w:p>
    <w:p>
      <w:pPr>
        <w:pStyle w:val="ListBullet"/>
      </w:pPr>
      <w:r>
        <w:rPr>
          <w:rFonts w:ascii="Times New Roman" w:hAnsi="Times New Roman"/>
          <w:sz w:val="22"/>
        </w:rPr>
        <w:t>Asbestos: mesothelioma and lung cancer; strong synergy with smoking</w:t>
      </w:r>
    </w:p>
    <w:p>
      <w:pPr>
        <w:pStyle w:val="ListBullet"/>
      </w:pPr>
      <w:r>
        <w:rPr>
          <w:rFonts w:ascii="Times New Roman" w:hAnsi="Times New Roman"/>
          <w:sz w:val="22"/>
        </w:rPr>
        <w:t>Mechanisms: oxidative stress, DNA repair interference, mitotic disruption, inflammation</w:t>
      </w:r>
    </w:p>
    <w:p>
      <w:r>
        <w:rPr>
          <w:rFonts w:ascii="Times New Roman" w:hAnsi="Times New Roman"/>
          <w:b/>
        </w:rPr>
        <w:t>What to say:</w:t>
      </w:r>
    </w:p>
    <w:p>
      <w:pPr>
        <w:ind w:firstLine="567"/>
      </w:pPr>
      <w:r>
        <w:rPr>
          <w:rFonts w:ascii="Times New Roman" w:hAnsi="Times New Roman"/>
          <w:b w:val="0"/>
          <w:sz w:val="24"/>
        </w:rPr>
        <w:t>Several metals and inorganic agents are established human carcinogens. Inorganic arsenic in drinking water causes skin, lung, and bladder cancers and remains a major global exposure where groundwater is contaminated. Hexavalent chromium and certain nickel compounds cause lung and nasal cancers among plating, welding, and refining workers. Cadmium is classified as a lung carcinogen. Asbestos deserves special emphasis even though it is a mineral fiber: it causes pleural and peritoneal mesothelioma and lung cancer, with latency often exceeding thirty years. Smoking and asbestos multiply lung cancer risk; mesothelioma risk is driven primarily by asbestos. Mechanisms for metal and fiber carcinogenesis include reactive oxygen species, interference with DNA repair proteins, mitotic spindle disruption, and persistent inflammation. In clinic, shipyard, insulation, brake, and construction work histories remain relevant decades after asbestos bans, because fibers persist and latency is long. Spend extra time on asbestos because of clinical volume. Differentiate asbestosis, pleural plaques, lung cancer, and mesothelioma in one breath so students do not conflate them. For arsenic, mention drinking-water wells and skin stigmata as diagnostic clues.</w:t>
      </w:r>
    </w:p>
    <w:p>
      <w:pPr>
        <w:pStyle w:val="Heading2"/>
      </w:pPr>
      <w:r>
        <w:t>Slide 19. Alkylating agents and anticancer drugs</w:t>
      </w:r>
    </w:p>
    <w:p>
      <w:r>
        <w:rPr>
          <w:rFonts w:ascii="Times New Roman" w:hAnsi="Times New Roman"/>
          <w:b/>
        </w:rPr>
        <w:t>Slide cues:</w:t>
      </w:r>
    </w:p>
    <w:p>
      <w:pPr>
        <w:pStyle w:val="ListBullet"/>
      </w:pPr>
      <w:r>
        <w:rPr>
          <w:rFonts w:ascii="Times New Roman" w:hAnsi="Times New Roman"/>
          <w:sz w:val="22"/>
        </w:rPr>
        <w:t>Transfer alkyl groups to DNA (N7-guanine, O6-guanine especially critical)</w:t>
      </w:r>
    </w:p>
    <w:p>
      <w:pPr>
        <w:pStyle w:val="ListBullet"/>
      </w:pPr>
      <w:r>
        <w:rPr>
          <w:rFonts w:ascii="Times New Roman" w:hAnsi="Times New Roman"/>
          <w:sz w:val="22"/>
        </w:rPr>
        <w:t>Therapeutic alkylators: cyclophosphamide, melphalan, nitrosoureas, others</w:t>
      </w:r>
    </w:p>
    <w:p>
      <w:pPr>
        <w:pStyle w:val="ListBullet"/>
      </w:pPr>
      <w:r>
        <w:rPr>
          <w:rFonts w:ascii="Times New Roman" w:hAnsi="Times New Roman"/>
          <w:sz w:val="22"/>
        </w:rPr>
        <w:t>Iatrogenic risk: therapy-related myeloid neoplasms after some regimens</w:t>
      </w:r>
    </w:p>
    <w:p>
      <w:pPr>
        <w:pStyle w:val="ListBullet"/>
      </w:pPr>
      <w:r>
        <w:rPr>
          <w:rFonts w:ascii="Times New Roman" w:hAnsi="Times New Roman"/>
          <w:sz w:val="22"/>
        </w:rPr>
        <w:t>O6-methylguanine → G:C to A:T transitions if unrepaired (MGMT)</w:t>
      </w:r>
    </w:p>
    <w:p>
      <w:pPr>
        <w:pStyle w:val="ListBullet"/>
      </w:pPr>
      <w:r>
        <w:rPr>
          <w:rFonts w:ascii="Times New Roman" w:hAnsi="Times New Roman"/>
          <w:sz w:val="22"/>
        </w:rPr>
        <w:t>Benefit–risk: curative intent may justify small secondary cancer risk</w:t>
      </w:r>
    </w:p>
    <w:p>
      <w:r>
        <w:rPr>
          <w:rFonts w:ascii="Times New Roman" w:hAnsi="Times New Roman"/>
          <w:b/>
        </w:rPr>
        <w:t>What to say:</w:t>
      </w:r>
    </w:p>
    <w:p>
      <w:pPr>
        <w:ind w:firstLine="567"/>
      </w:pPr>
      <w:r>
        <w:rPr>
          <w:rFonts w:ascii="Times New Roman" w:hAnsi="Times New Roman"/>
          <w:b w:val="0"/>
          <w:sz w:val="24"/>
        </w:rPr>
        <w:t>Alkylating agents transfer alkyl groups to DNA bases. Alkylation at the O6 position of guanine is particularly mutagenic if not repaired by O6-methylguanine-DNA methyltransferase, MGMT; unrepaired lesions cause G:C to A:T transitions. Several cornerstone anticancer drugs are alkylators or related DNA-damaging agents — cyclophosphamide, melphalan, busulfan, nitrosoureas, and others. Long-term survivors treated with certain regimens face a small but real risk of therapy-related acute myeloid leukemia or myelodysplastic syndrome. This is chemical carcinogenesis in an iatrogenic setting. The ethical and clinical teaching point is nuanced: we do not withhold curative chemotherapy because of a low secondary risk, but we choose regimens thoughtfully, combine modalities wisely, counsel survivors, and arrange appropriate long-term surveillance. Radiation plus alkylators can further elevate secondary cancer risk in some diseases — another reason multidisciplinary planning matters. Acknowledge the irony openly — we use carcinogens to cure cancer. Frame absolute risk: secondary leukemia is uncommon but devastating; survivorship clinics exist for a reason. MGMT can be mentioned as both a resistance mechanism in gliomas and a repair guardian.</w:t>
      </w:r>
    </w:p>
    <w:p>
      <w:pPr>
        <w:pStyle w:val="Heading2"/>
      </w:pPr>
      <w:r>
        <w:t>Slide 20. Hormonal and receptor-mediated carcinogens</w:t>
      </w:r>
    </w:p>
    <w:p>
      <w:r>
        <w:rPr>
          <w:rFonts w:ascii="Times New Roman" w:hAnsi="Times New Roman"/>
          <w:b/>
        </w:rPr>
        <w:t>Slide cues:</w:t>
      </w:r>
    </w:p>
    <w:p>
      <w:pPr>
        <w:pStyle w:val="ListBullet"/>
      </w:pPr>
      <w:r>
        <w:rPr>
          <w:rFonts w:ascii="Times New Roman" w:hAnsi="Times New Roman"/>
          <w:sz w:val="22"/>
        </w:rPr>
        <w:t>Estrogens: endometrial proliferation; progestin opposition modifies risk</w:t>
      </w:r>
    </w:p>
    <w:p>
      <w:pPr>
        <w:pStyle w:val="ListBullet"/>
      </w:pPr>
      <w:r>
        <w:rPr>
          <w:rFonts w:ascii="Times New Roman" w:hAnsi="Times New Roman"/>
          <w:sz w:val="22"/>
        </w:rPr>
        <w:t>Diethylstilbestrol (DES): clear-cell vaginal adenocarcinoma in daughters</w:t>
      </w:r>
    </w:p>
    <w:p>
      <w:pPr>
        <w:pStyle w:val="ListBullet"/>
      </w:pPr>
      <w:r>
        <w:rPr>
          <w:rFonts w:ascii="Times New Roman" w:hAnsi="Times New Roman"/>
          <w:sz w:val="22"/>
        </w:rPr>
        <w:t>Tamoxifen: lowers breast cancer risk, raises endometrial cancer risk</w:t>
      </w:r>
    </w:p>
    <w:p>
      <w:pPr>
        <w:pStyle w:val="ListBullet"/>
      </w:pPr>
      <w:r>
        <w:rPr>
          <w:rFonts w:ascii="Times New Roman" w:hAnsi="Times New Roman"/>
          <w:sz w:val="22"/>
        </w:rPr>
        <w:t>Sustained hormonal drive: rare hepatic adenomas / tumors with anabolic steroids</w:t>
      </w:r>
    </w:p>
    <w:p>
      <w:pPr>
        <w:pStyle w:val="ListBullet"/>
      </w:pPr>
      <w:r>
        <w:rPr>
          <w:rFonts w:ascii="Times New Roman" w:hAnsi="Times New Roman"/>
          <w:sz w:val="22"/>
        </w:rPr>
        <w:t>Mechanism often promotion via proliferation rather than direct mutagenesis</w:t>
      </w:r>
    </w:p>
    <w:p>
      <w:r>
        <w:rPr>
          <w:rFonts w:ascii="Times New Roman" w:hAnsi="Times New Roman"/>
          <w:b/>
        </w:rPr>
        <w:t>What to say:</w:t>
      </w:r>
    </w:p>
    <w:p>
      <w:pPr>
        <w:ind w:firstLine="567"/>
      </w:pPr>
      <w:r>
        <w:rPr>
          <w:rFonts w:ascii="Times New Roman" w:hAnsi="Times New Roman"/>
          <w:b w:val="0"/>
          <w:sz w:val="24"/>
        </w:rPr>
        <w:t>Hormones illustrate non-genotoxic, receptor-driven carcinogenesis. Unopposed estrogen increases endometrial cancer risk by driving proliferation of endometrial glands; adding progestin in menopausal hormone therapy reduces that endometrial risk, which is why regimen choice matters. Diethylstilbestrol, prescribed historically in pregnancy, caused clear-cell adenocarcinoma of the vagina and cervix in exposed daughters — a landmark of transplacental carcinogenesis and a reminder that timing of exposure can be as important as dose. Tamoxifen lowers incidence of estrogen receptor–positive breast cancer yet increases endometrial cancer risk because of tissue-specific agonist activity — a beautiful pharmacology lesson. Anabolic steroid abuse has been linked to rare hepatic tumors. For exams: hormonal carcinogens usually promote rather than initiate, and risk often depends on duration and whether proliferation is opposed. DES is historical in many countries but remains the teaching archetype of in-utero programming. For tamoxifen, ask which tissue sees antagonist versus agonist effects — breast versus endometrium — to fix the concept.</w:t>
      </w:r>
    </w:p>
    <w:p>
      <w:pPr>
        <w:pStyle w:val="Heading2"/>
      </w:pPr>
      <w:r>
        <w:t>Slide 21. Alcohol, benzene, and vinyl chloride — quick high-yield add-ons</w:t>
      </w:r>
    </w:p>
    <w:p>
      <w:r>
        <w:rPr>
          <w:rFonts w:ascii="Times New Roman" w:hAnsi="Times New Roman"/>
          <w:b/>
        </w:rPr>
        <w:t>Slide cues:</w:t>
      </w:r>
    </w:p>
    <w:p>
      <w:pPr>
        <w:pStyle w:val="ListBullet"/>
      </w:pPr>
      <w:r>
        <w:rPr>
          <w:rFonts w:ascii="Times New Roman" w:hAnsi="Times New Roman"/>
          <w:sz w:val="22"/>
        </w:rPr>
        <w:t>Alcohol → acetaldehyde (Group 1): oral, pharynx, larynx, esophagus, liver, colorectum, breast</w:t>
      </w:r>
    </w:p>
    <w:p>
      <w:pPr>
        <w:pStyle w:val="ListBullet"/>
      </w:pPr>
      <w:r>
        <w:rPr>
          <w:rFonts w:ascii="Times New Roman" w:hAnsi="Times New Roman"/>
          <w:sz w:val="22"/>
        </w:rPr>
        <w:t>Benzene: hematopoietic toxicity; acute myeloid leukemia</w:t>
      </w:r>
    </w:p>
    <w:p>
      <w:pPr>
        <w:pStyle w:val="ListBullet"/>
      </w:pPr>
      <w:r>
        <w:rPr>
          <w:rFonts w:ascii="Times New Roman" w:hAnsi="Times New Roman"/>
          <w:sz w:val="22"/>
        </w:rPr>
        <w:t>Vinyl chloride: hepatic angiosarcoma (classic occupational pair)</w:t>
      </w:r>
    </w:p>
    <w:p>
      <w:pPr>
        <w:pStyle w:val="ListBullet"/>
      </w:pPr>
      <w:r>
        <w:rPr>
          <w:rFonts w:ascii="Times New Roman" w:hAnsi="Times New Roman"/>
          <w:sz w:val="22"/>
        </w:rPr>
        <w:t>Formaldehyde: nasopharynx; leukemia evidence also evaluated by IARC</w:t>
      </w:r>
    </w:p>
    <w:p>
      <w:pPr>
        <w:pStyle w:val="ListBullet"/>
      </w:pPr>
      <w:r>
        <w:rPr>
          <w:rFonts w:ascii="Times New Roman" w:hAnsi="Times New Roman"/>
          <w:sz w:val="22"/>
        </w:rPr>
        <w:t>These 'signature pairs' are frequent exam items</w:t>
      </w:r>
    </w:p>
    <w:p>
      <w:r>
        <w:rPr>
          <w:rFonts w:ascii="Times New Roman" w:hAnsi="Times New Roman"/>
          <w:b/>
        </w:rPr>
        <w:t>What to say:</w:t>
      </w:r>
    </w:p>
    <w:p>
      <w:pPr>
        <w:ind w:firstLine="567"/>
      </w:pPr>
      <w:r>
        <w:rPr>
          <w:rFonts w:ascii="Times New Roman" w:hAnsi="Times New Roman"/>
          <w:b w:val="0"/>
          <w:sz w:val="24"/>
        </w:rPr>
        <w:t>A few additional agents deserve explicit mention because they are exam favorites and clinically important. Alcoholic beverages are Group 1 carcinogens; acetaldehyde and other mechanisms contribute to cancers of the oral cavity, pharynx, larynx, esophagus, liver, colorectum, and female breast. Risk rises with dose; there is no oncologically 'safe' threshold for cancer risk, even if cardiovascular debates continue. Benzene causes bone marrow toxicity and acute myeloid leukemia — think of historical solvent and petrochemical exposures. Vinyl chloride monomer causes hepatic angiosarcoma, a rare tumor with a classic occupational link. Formaldehyde is associated with nasopharyngeal cancer, with additional evaluation of leukemia risk. Commit these signature pairs to memory; they appear constantly in multiple-choice questions and in occupational medicine referrals. Rapid-fire drill: point to each bullet and have the room shout the cancer. This two-minute drill raises retention more than another paragraph of prose.</w:t>
      </w:r>
    </w:p>
    <w:p>
      <w:pPr>
        <w:pStyle w:val="Heading2"/>
      </w:pPr>
      <w:r>
        <w:t>Slide 22. Part 4 · Exposure, clinic, and prevention</w:t>
      </w:r>
    </w:p>
    <w:p>
      <w:r>
        <w:rPr>
          <w:rFonts w:ascii="Times New Roman" w:hAnsi="Times New Roman"/>
          <w:b/>
        </w:rPr>
        <w:t>What to say:</w:t>
      </w:r>
    </w:p>
    <w:p>
      <w:pPr>
        <w:ind w:firstLine="567"/>
      </w:pPr>
      <w:r>
        <w:rPr>
          <w:rFonts w:ascii="Times New Roman" w:hAnsi="Times New Roman"/>
          <w:b w:val="0"/>
          <w:sz w:val="24"/>
        </w:rPr>
        <w:t>In Part Four we connect toxicology to the bedside and to public health. Where do exposures actually occur? How do dose and latency work? How do you take a three-minute exposure history? What prevention strategies have the largest impact? This is the material that turns a mechanism lecture into clinical competence. Say explicitly: 'If you remember only one skill from the last fifteen minutes, make it the exposure history.'</w:t>
      </w:r>
    </w:p>
    <w:p>
      <w:pPr>
        <w:pStyle w:val="Heading2"/>
      </w:pPr>
      <w:r>
        <w:t>Slide 23. Major exposure settings</w:t>
      </w:r>
    </w:p>
    <w:p>
      <w:r>
        <w:rPr>
          <w:rFonts w:ascii="Times New Roman" w:hAnsi="Times New Roman"/>
          <w:b/>
        </w:rPr>
        <w:t>Slide cues:</w:t>
      </w:r>
    </w:p>
    <w:p>
      <w:pPr>
        <w:pStyle w:val="ListBullet"/>
      </w:pPr>
      <w:r>
        <w:rPr>
          <w:rFonts w:ascii="Times New Roman" w:hAnsi="Times New Roman"/>
          <w:sz w:val="22"/>
        </w:rPr>
        <w:t>Tobacco: dominant avoidable chemical carcinogen mixture worldwide</w:t>
      </w:r>
    </w:p>
    <w:p>
      <w:pPr>
        <w:pStyle w:val="ListBullet"/>
      </w:pPr>
      <w:r>
        <w:rPr>
          <w:rFonts w:ascii="Times New Roman" w:hAnsi="Times New Roman"/>
          <w:sz w:val="22"/>
        </w:rPr>
        <w:t>Occupation: metals, PAHs, aromatic amines, asbestos legacy, solvents</w:t>
      </w:r>
    </w:p>
    <w:p>
      <w:pPr>
        <w:pStyle w:val="ListBullet"/>
      </w:pPr>
      <w:r>
        <w:rPr>
          <w:rFonts w:ascii="Times New Roman" w:hAnsi="Times New Roman"/>
          <w:sz w:val="22"/>
        </w:rPr>
        <w:t>Environment: air pollution, arsenic in water, household combustion</w:t>
      </w:r>
    </w:p>
    <w:p>
      <w:pPr>
        <w:pStyle w:val="ListBullet"/>
      </w:pPr>
      <w:r>
        <w:rPr>
          <w:rFonts w:ascii="Times New Roman" w:hAnsi="Times New Roman"/>
          <w:sz w:val="22"/>
        </w:rPr>
        <w:t>Diet: aflatoxin, processed meat, alcohol</w:t>
      </w:r>
    </w:p>
    <w:p>
      <w:pPr>
        <w:pStyle w:val="ListBullet"/>
      </w:pPr>
      <w:r>
        <w:rPr>
          <w:rFonts w:ascii="Times New Roman" w:hAnsi="Times New Roman"/>
          <w:sz w:val="22"/>
        </w:rPr>
        <w:t>Iatrogenic: cytotoxic drugs, immunosuppression, historical DES</w:t>
      </w:r>
    </w:p>
    <w:p>
      <w:r>
        <w:rPr>
          <w:rFonts w:ascii="Times New Roman" w:hAnsi="Times New Roman"/>
          <w:b/>
        </w:rPr>
        <w:t>What to say:</w:t>
      </w:r>
    </w:p>
    <w:p>
      <w:pPr>
        <w:ind w:firstLine="567"/>
      </w:pPr>
      <w:r>
        <w:rPr>
          <w:rFonts w:ascii="Times New Roman" w:hAnsi="Times New Roman"/>
          <w:b w:val="0"/>
          <w:sz w:val="24"/>
        </w:rPr>
        <w:t>Rank exposures by attributable burden, not by exotic interest. Smoked tobacco remains the leading avoidable chemical carcinogen mixture worldwide. Alcohol is next in many populations for specific sites. Occupational exposures — chromium, nickel, PAHs, aromatic amines, asbestos legacy, benzene — cause fewer cases in absolute numbers in high-income countries than smoking, yet each case is often preventable and may be compensable. Environmental risks include outdoor air pollution, ranked Group 1 by IARC, arsenic in groundwater, and indoor solid-fuel smoke. Dietary carcinogens include aflatoxin, alcohol, and components related to processed meat. Iatrogenic exposures are uncommon but ethically important. When teaching prevention priorities, start with tobacco, alcohol, infection co-factors, air quality, and workplace hygiene — then discuss rarer industrial agents. Order the list by global attributable fraction while speaking: tobacco, then infections and alcohol depending on region, then air pollution and occupation. This ranking prevents exotic-agent bias.</w:t>
      </w:r>
    </w:p>
    <w:p>
      <w:pPr>
        <w:pStyle w:val="Heading2"/>
      </w:pPr>
      <w:r>
        <w:t>Slide 24. Dose, latency, and host factors</w:t>
      </w:r>
    </w:p>
    <w:p>
      <w:r>
        <w:rPr>
          <w:rFonts w:ascii="Times New Roman" w:hAnsi="Times New Roman"/>
          <w:b/>
        </w:rPr>
        <w:t>Slide cues:</w:t>
      </w:r>
    </w:p>
    <w:p>
      <w:pPr>
        <w:pStyle w:val="ListBullet"/>
      </w:pPr>
      <w:r>
        <w:rPr>
          <w:rFonts w:ascii="Times New Roman" w:hAnsi="Times New Roman"/>
          <w:sz w:val="22"/>
        </w:rPr>
        <w:t>Risk generally rises with cumulative dose and duration</w:t>
      </w:r>
    </w:p>
    <w:p>
      <w:pPr>
        <w:pStyle w:val="ListBullet"/>
      </w:pPr>
      <w:r>
        <w:rPr>
          <w:rFonts w:ascii="Times New Roman" w:hAnsi="Times New Roman"/>
          <w:sz w:val="22"/>
        </w:rPr>
        <w:t>Latency: often 10–40 years (mesothelioma often 30–40+ years)</w:t>
      </w:r>
    </w:p>
    <w:p>
      <w:pPr>
        <w:pStyle w:val="ListBullet"/>
      </w:pPr>
      <w:r>
        <w:rPr>
          <w:rFonts w:ascii="Times New Roman" w:hAnsi="Times New Roman"/>
          <w:sz w:val="22"/>
        </w:rPr>
        <w:t>Synergism: asbestos × smoking; aflatoxin × HBV; alcohol × smoking</w:t>
      </w:r>
    </w:p>
    <w:p>
      <w:pPr>
        <w:pStyle w:val="ListBullet"/>
      </w:pPr>
      <w:r>
        <w:rPr>
          <w:rFonts w:ascii="Times New Roman" w:hAnsi="Times New Roman"/>
          <w:sz w:val="22"/>
        </w:rPr>
        <w:t>Host: age at exposure, sex, DNA repair genes, metabolic polymorphisms</w:t>
      </w:r>
    </w:p>
    <w:p>
      <w:pPr>
        <w:pStyle w:val="ListBullet"/>
      </w:pPr>
      <w:r>
        <w:rPr>
          <w:rFonts w:ascii="Times New Roman" w:hAnsi="Times New Roman"/>
          <w:sz w:val="22"/>
        </w:rPr>
        <w:t>Children may be more vulnerable for some agents and windows of development</w:t>
      </w:r>
    </w:p>
    <w:p>
      <w:r>
        <w:rPr>
          <w:rFonts w:ascii="Times New Roman" w:hAnsi="Times New Roman"/>
          <w:b/>
        </w:rPr>
        <w:t>What to say:</w:t>
      </w:r>
    </w:p>
    <w:p>
      <w:pPr>
        <w:ind w:firstLine="567"/>
      </w:pPr>
      <w:r>
        <w:rPr>
          <w:rFonts w:ascii="Times New Roman" w:hAnsi="Times New Roman"/>
          <w:b w:val="0"/>
          <w:sz w:val="24"/>
        </w:rPr>
        <w:t>Risk usually rises with cumulative dose and duration of exposure, though the shape of the dose–response curve differs for genotoxic versus non-genotoxic agents. Latency means today's diagnosis may reflect exposure from one to four decades earlier — essential for compensation claims and for not dismissing a remote job history. Synergistic interactions are high-yield teaching points: asbestos and smoking multiply lung cancer risk; aflatoxin and hepatitis B multiply HCC risk; alcohol and smoking multiply risk for oral and pharyngeal cancers. Host factors include age at first exposure, sex hormone milieu, inherited DNA-repair defects, and metabolic enzyme polymorphisms. Developmental windows matter: in utero DES exposure is the extreme example. Communicate both hazard and magnitude: 'genotoxic' does not always mean 'high personal risk at tiny doses,' but it does mean we avoid casual reassurance without data. Give a numeric feel: mesothelioma latency commonly exceeds thirty years; that is why bans do not end clinical cases overnight. Synergy examples are ideal viva voce material — have students recite all three pairs.</w:t>
      </w:r>
    </w:p>
    <w:p>
      <w:pPr>
        <w:pStyle w:val="Heading2"/>
      </w:pPr>
      <w:r>
        <w:t>Slide 25. Clinical approach: the exposure history</w:t>
      </w:r>
    </w:p>
    <w:p>
      <w:r>
        <w:rPr>
          <w:rFonts w:ascii="Times New Roman" w:hAnsi="Times New Roman"/>
          <w:b/>
        </w:rPr>
        <w:t>Slide cues:</w:t>
      </w:r>
    </w:p>
    <w:p>
      <w:pPr>
        <w:pStyle w:val="ListBullet"/>
      </w:pPr>
      <w:r>
        <w:rPr>
          <w:rFonts w:ascii="Times New Roman" w:hAnsi="Times New Roman"/>
          <w:sz w:val="22"/>
        </w:rPr>
        <w:t>Ask: occupation (current and past), hobbies, home, smoking, alcohol</w:t>
      </w:r>
    </w:p>
    <w:p>
      <w:pPr>
        <w:pStyle w:val="ListBullet"/>
      </w:pPr>
      <w:r>
        <w:rPr>
          <w:rFonts w:ascii="Times New Roman" w:hAnsi="Times New Roman"/>
          <w:sz w:val="22"/>
        </w:rPr>
        <w:t>Prompts: dyes, rubber, metals, asbestos, solvents, pesticides, well water</w:t>
      </w:r>
    </w:p>
    <w:p>
      <w:pPr>
        <w:pStyle w:val="ListBullet"/>
      </w:pPr>
      <w:r>
        <w:rPr>
          <w:rFonts w:ascii="Times New Roman" w:hAnsi="Times New Roman"/>
          <w:sz w:val="22"/>
        </w:rPr>
        <w:t>Timeline: year first exposed, duration, PPE, co-exposures, co-workers' illnesses</w:t>
      </w:r>
    </w:p>
    <w:p>
      <w:pPr>
        <w:pStyle w:val="ListBullet"/>
      </w:pPr>
      <w:r>
        <w:rPr>
          <w:rFonts w:ascii="Times New Roman" w:hAnsi="Times New Roman"/>
          <w:sz w:val="22"/>
        </w:rPr>
        <w:t>Link organ site to classic agents</w:t>
      </w:r>
    </w:p>
    <w:p>
      <w:pPr>
        <w:pStyle w:val="ListBullet"/>
      </w:pPr>
      <w:r>
        <w:rPr>
          <w:rFonts w:ascii="Times New Roman" w:hAnsi="Times New Roman"/>
          <w:sz w:val="22"/>
        </w:rPr>
        <w:t>Document for care, counseling, and occupational reporting when appropriate</w:t>
      </w:r>
    </w:p>
    <w:p>
      <w:r>
        <w:rPr>
          <w:rFonts w:ascii="Times New Roman" w:hAnsi="Times New Roman"/>
          <w:b/>
        </w:rPr>
        <w:t>What to say:</w:t>
      </w:r>
    </w:p>
    <w:p>
      <w:pPr>
        <w:ind w:firstLine="567"/>
      </w:pPr>
      <w:r>
        <w:rPr>
          <w:rFonts w:ascii="Times New Roman" w:hAnsi="Times New Roman"/>
          <w:b w:val="0"/>
          <w:sz w:val="24"/>
        </w:rPr>
        <w:t>A useful exposure history takes three to five minutes. Ask current job and all significant past jobs — latency makes the old job the relevant one. Ask what the patient actually did: dust, fumes, insulation, metal plating, dye handling, solvent use, pesticide spraying. Ask whether protective equipment was used and whether colleagues developed similar diseases. Home questions: well water, solid-fuel cooking or heating, secondhand smoke, hobbies such as metalwork or furniture refinishing. Always quantify tobacco and alcohol. Then match organ to agent: mesothelioma almost always triggers asbestos inquiry; HCC triggers viral hepatitis, alcohol, and aflatoxin geography; urothelial cancer triggers smoking plus aromatic amine work; acute leukemia may prompt benzene or prior chemotherapy questions. Write findings in the record. Refer to occupational medicine when exposure is ongoing or when legal reporting may protect others. Demonstrate the questions at conversational speed as if interviewing a patient in clinic. Then ask a volunteer to repeat two of them. Muscle memory beats slides here.</w:t>
      </w:r>
    </w:p>
    <w:p>
      <w:pPr>
        <w:pStyle w:val="Heading2"/>
      </w:pPr>
      <w:r>
        <w:t>Slide 26. Prevention strategies</w:t>
      </w:r>
    </w:p>
    <w:p>
      <w:r>
        <w:rPr>
          <w:rFonts w:ascii="Times New Roman" w:hAnsi="Times New Roman"/>
          <w:b/>
        </w:rPr>
        <w:t>Slide cues:</w:t>
      </w:r>
    </w:p>
    <w:p>
      <w:pPr>
        <w:pStyle w:val="ListBullet"/>
      </w:pPr>
      <w:r>
        <w:rPr>
          <w:rFonts w:ascii="Times New Roman" w:hAnsi="Times New Roman"/>
          <w:sz w:val="22"/>
        </w:rPr>
        <w:t>Primary prevention:</w:t>
      </w:r>
    </w:p>
    <w:p>
      <w:pPr>
        <w:pStyle w:val="ListBullet"/>
      </w:pPr>
      <w:r>
        <w:rPr>
          <w:rFonts w:ascii="Times New Roman" w:hAnsi="Times New Roman"/>
          <w:sz w:val="22"/>
        </w:rPr>
        <w:t>– Tobacco and alcohol control</w:t>
      </w:r>
    </w:p>
    <w:p>
      <w:pPr>
        <w:pStyle w:val="ListBullet"/>
      </w:pPr>
      <w:r>
        <w:rPr>
          <w:rFonts w:ascii="Times New Roman" w:hAnsi="Times New Roman"/>
          <w:sz w:val="22"/>
        </w:rPr>
        <w:t>– Workplace substitution, enclosure, ventilation, PPE</w:t>
      </w:r>
    </w:p>
    <w:p>
      <w:pPr>
        <w:pStyle w:val="ListBullet"/>
      </w:pPr>
      <w:r>
        <w:rPr>
          <w:rFonts w:ascii="Times New Roman" w:hAnsi="Times New Roman"/>
          <w:sz w:val="22"/>
        </w:rPr>
        <w:t>– Food safety and aflatoxin control</w:t>
      </w:r>
    </w:p>
    <w:p>
      <w:pPr>
        <w:pStyle w:val="ListBullet"/>
      </w:pPr>
      <w:r>
        <w:rPr>
          <w:rFonts w:ascii="Times New Roman" w:hAnsi="Times New Roman"/>
          <w:sz w:val="22"/>
        </w:rPr>
        <w:t>– Clean water (arsenic); clean air policies</w:t>
      </w:r>
    </w:p>
    <w:p>
      <w:pPr>
        <w:pStyle w:val="ListBullet"/>
      </w:pPr>
      <w:r>
        <w:rPr>
          <w:rFonts w:ascii="Times New Roman" w:hAnsi="Times New Roman"/>
          <w:sz w:val="22"/>
        </w:rPr>
        <w:t>– HBV vaccination; safer prescribing</w:t>
      </w:r>
    </w:p>
    <w:p>
      <w:pPr>
        <w:pStyle w:val="ListBullet"/>
      </w:pPr>
      <w:r>
        <w:rPr>
          <w:rFonts w:ascii="Times New Roman" w:hAnsi="Times New Roman"/>
          <w:sz w:val="22"/>
        </w:rPr>
        <w:t>Secondary / clinical:</w:t>
      </w:r>
    </w:p>
    <w:p>
      <w:pPr>
        <w:pStyle w:val="ListBullet"/>
      </w:pPr>
      <w:r>
        <w:rPr>
          <w:rFonts w:ascii="Times New Roman" w:hAnsi="Times New Roman"/>
          <w:sz w:val="22"/>
        </w:rPr>
        <w:t>– Evidence-based screening in high-risk groups</w:t>
      </w:r>
    </w:p>
    <w:p>
      <w:pPr>
        <w:pStyle w:val="ListBullet"/>
      </w:pPr>
      <w:r>
        <w:rPr>
          <w:rFonts w:ascii="Times New Roman" w:hAnsi="Times New Roman"/>
          <w:sz w:val="22"/>
        </w:rPr>
        <w:t>– Smoking cessation — benefit at any age</w:t>
      </w:r>
    </w:p>
    <w:p>
      <w:pPr>
        <w:pStyle w:val="ListBullet"/>
      </w:pPr>
      <w:r>
        <w:rPr>
          <w:rFonts w:ascii="Times New Roman" w:hAnsi="Times New Roman"/>
          <w:sz w:val="22"/>
        </w:rPr>
        <w:t>– Survivor surveillance after carcinogenic therapy</w:t>
      </w:r>
    </w:p>
    <w:p>
      <w:pPr>
        <w:pStyle w:val="ListBullet"/>
      </w:pPr>
      <w:r>
        <w:rPr>
          <w:rFonts w:ascii="Times New Roman" w:hAnsi="Times New Roman"/>
          <w:sz w:val="22"/>
        </w:rPr>
        <w:t>– Remove ongoing exposure when identified</w:t>
      </w:r>
    </w:p>
    <w:p>
      <w:pPr>
        <w:pStyle w:val="ListBullet"/>
      </w:pPr>
      <w:r>
        <w:rPr>
          <w:rFonts w:ascii="Times New Roman" w:hAnsi="Times New Roman"/>
          <w:sz w:val="22"/>
        </w:rPr>
        <w:t>– Treat co-factors (HBV, HCV, H. pylori where relevant)</w:t>
      </w:r>
    </w:p>
    <w:p>
      <w:r>
        <w:rPr>
          <w:rFonts w:ascii="Times New Roman" w:hAnsi="Times New Roman"/>
          <w:b/>
        </w:rPr>
        <w:t>What to say:</w:t>
      </w:r>
    </w:p>
    <w:p>
      <w:pPr>
        <w:ind w:firstLine="567"/>
      </w:pPr>
      <w:r>
        <w:rPr>
          <w:rFonts w:ascii="Times New Roman" w:hAnsi="Times New Roman"/>
          <w:b w:val="0"/>
          <w:sz w:val="24"/>
        </w:rPr>
        <w:t>Prevention is the most important clinical takeaway. Primary prevention removes or reduces exposure before disease starts. Tobacco control has prevented more cancer deaths than any treatment advance. Industrial hygiene substitutes safer chemicals, encloses processes, ventilates, and uses respirators and protective clothing. Food storage and regulation reduce aflatoxin. Water treatment reduces arsenic. Air-quality standards reduce particulate and PAH exposure. Hepatitis B vaccination prevents a major promotional co-factor for aflatoxin-related HCC. Secondary measures include cessation support — lung cancer risk falls progressively for years after quitting — targeted screening where guidelines support it, and surveillance after alkylating therapy. If you identify ongoing occupational exposure, act: advise the patient, involve occupational health, and think about co-workers. Chemoprevention with drugs is niche; exposure control is the mainstay. Close the two columns by saying primary prevention is population gold, while clinicians own cessation, co-factor treatment, and removing ongoing exposure. Mention referral to occupational health as a concrete next step, not an abstraction.</w:t>
      </w:r>
    </w:p>
    <w:p>
      <w:pPr>
        <w:pStyle w:val="Heading2"/>
      </w:pPr>
      <w:r>
        <w:t>Slide 27. Mini-case for discussion</w:t>
      </w:r>
    </w:p>
    <w:p>
      <w:r>
        <w:rPr>
          <w:rFonts w:ascii="Times New Roman" w:hAnsi="Times New Roman"/>
          <w:b/>
        </w:rPr>
        <w:t>Slide cues:</w:t>
      </w:r>
    </w:p>
    <w:p>
      <w:pPr>
        <w:pStyle w:val="ListBullet"/>
      </w:pPr>
      <w:r>
        <w:rPr>
          <w:rFonts w:ascii="Times New Roman" w:hAnsi="Times New Roman"/>
          <w:sz w:val="22"/>
        </w:rPr>
        <w:t>58-year-old man, 35 pack-years, former shipyard insulator (1975–1988)</w:t>
      </w:r>
    </w:p>
    <w:p>
      <w:pPr>
        <w:pStyle w:val="ListBullet"/>
      </w:pPr>
      <w:r>
        <w:rPr>
          <w:rFonts w:ascii="Times New Roman" w:hAnsi="Times New Roman"/>
          <w:sz w:val="22"/>
        </w:rPr>
        <w:t>Progressive dyspnea; pleural effusion; cytology suspicious for malignancy</w:t>
      </w:r>
    </w:p>
    <w:p>
      <w:pPr>
        <w:pStyle w:val="ListBullet"/>
      </w:pPr>
      <w:r>
        <w:rPr>
          <w:rFonts w:ascii="Times New Roman" w:hAnsi="Times New Roman"/>
          <w:sz w:val="22"/>
        </w:rPr>
        <w:t>Discuss: differential diagnosis? key exposures? synergy? counseling?</w:t>
      </w:r>
    </w:p>
    <w:p>
      <w:pPr>
        <w:pStyle w:val="ListBullet"/>
      </w:pPr>
      <w:r>
        <w:rPr>
          <w:rFonts w:ascii="Times New Roman" w:hAnsi="Times New Roman"/>
          <w:sz w:val="22"/>
        </w:rPr>
        <w:t>Path: mesothelioma vs lung cancer vs benign asbestos pleural disease</w:t>
      </w:r>
    </w:p>
    <w:p>
      <w:pPr>
        <w:pStyle w:val="ListBullet"/>
      </w:pPr>
      <w:r>
        <w:rPr>
          <w:rFonts w:ascii="Times New Roman" w:hAnsi="Times New Roman"/>
          <w:sz w:val="22"/>
        </w:rPr>
        <w:t>Actions: document timeline; cessation support; occupational medicine as needed</w:t>
      </w:r>
    </w:p>
    <w:p>
      <w:r>
        <w:rPr>
          <w:rFonts w:ascii="Times New Roman" w:hAnsi="Times New Roman"/>
          <w:b/>
        </w:rPr>
        <w:t>What to say:</w:t>
      </w:r>
    </w:p>
    <w:p>
      <w:pPr>
        <w:ind w:firstLine="567"/>
      </w:pPr>
      <w:r>
        <w:rPr>
          <w:rFonts w:ascii="Times New Roman" w:hAnsi="Times New Roman"/>
          <w:b w:val="0"/>
          <w:sz w:val="24"/>
        </w:rPr>
        <w:t>Let us use two minutes on this case. A fifty-eight-year-old man with a thirty-five pack-year smoking history worked as a shipyard insulator from 1975 to 1988. He now has progressive dyspnea and a pleural effusion with suspicious cytology. The differential includes malignant pleural mesothelioma, asbestos-related lung cancer with pleural involvement, and benign asbestos pleural disease — though malignant cytology pushes us toward cancer. Imaging, adequate tissue, and immunohistochemistry distinguish mesothelioma from carcinoma. Exposures are dual: asbestos and tobacco. Synergy matters enormously for lung cancer risk; mesothelioma risk is chiefly asbestos-driven. Counseling points: smoking cessation still helps cardiovascular health and residual cancer risk; document the full occupational timeline with years and tasks; involve multidisciplinary oncology and, where appropriate, occupational disease pathways. Ask the room: what single question would you add to the history tomorrow morning? Answer: 'What exactly did you do with insulation, and did you use a respirator?' If the group is large, take two answers from the floor on differential diagnosis before revealing the teaching path. Keep the discussion to three minutes maximum to protect the summary.</w:t>
      </w:r>
    </w:p>
    <w:p>
      <w:pPr>
        <w:pStyle w:val="Heading2"/>
      </w:pPr>
      <w:r>
        <w:t>Slide 28. Putting it together — a one-minute synthesis</w:t>
      </w:r>
    </w:p>
    <w:p>
      <w:r>
        <w:rPr>
          <w:rFonts w:ascii="Times New Roman" w:hAnsi="Times New Roman"/>
          <w:b/>
        </w:rPr>
        <w:t>Slide cues:</w:t>
      </w:r>
    </w:p>
    <w:p>
      <w:pPr>
        <w:pStyle w:val="ListBullet"/>
      </w:pPr>
      <w:r>
        <w:rPr>
          <w:rFonts w:ascii="Times New Roman" w:hAnsi="Times New Roman"/>
          <w:sz w:val="22"/>
        </w:rPr>
        <w:t>Exposure → activation/detox balance → DNA or promotional hit</w:t>
      </w:r>
    </w:p>
    <w:p>
      <w:pPr>
        <w:pStyle w:val="ListBullet"/>
      </w:pPr>
      <w:r>
        <w:rPr>
          <w:rFonts w:ascii="Times New Roman" w:hAnsi="Times New Roman"/>
          <w:sz w:val="22"/>
        </w:rPr>
        <w:t>Clonal expansion under promoters / inflammation / hormones</w:t>
      </w:r>
    </w:p>
    <w:p>
      <w:pPr>
        <w:pStyle w:val="ListBullet"/>
      </w:pPr>
      <w:r>
        <w:rPr>
          <w:rFonts w:ascii="Times New Roman" w:hAnsi="Times New Roman"/>
          <w:sz w:val="22"/>
        </w:rPr>
        <w:t>Progression to invasion; long latency hides the original job or habit</w:t>
      </w:r>
    </w:p>
    <w:p>
      <w:pPr>
        <w:pStyle w:val="ListBullet"/>
      </w:pPr>
      <w:r>
        <w:rPr>
          <w:rFonts w:ascii="Times New Roman" w:hAnsi="Times New Roman"/>
          <w:sz w:val="22"/>
        </w:rPr>
        <w:t>Clinic: match organ to agent; intervene on what is still modifiable</w:t>
      </w:r>
    </w:p>
    <w:p>
      <w:pPr>
        <w:pStyle w:val="ListBullet"/>
      </w:pPr>
      <w:r>
        <w:rPr>
          <w:rFonts w:ascii="Times New Roman" w:hAnsi="Times New Roman"/>
          <w:sz w:val="22"/>
        </w:rPr>
        <w:t>Population: tobacco, alcohol, air, food safety, vaccines, workplace controls</w:t>
      </w:r>
    </w:p>
    <w:p>
      <w:r>
        <w:rPr>
          <w:rFonts w:ascii="Times New Roman" w:hAnsi="Times New Roman"/>
          <w:b/>
        </w:rPr>
        <w:t>What to say:</w:t>
      </w:r>
    </w:p>
    <w:p>
      <w:pPr>
        <w:ind w:firstLine="567"/>
      </w:pPr>
      <w:r>
        <w:rPr>
          <w:rFonts w:ascii="Times New Roman" w:hAnsi="Times New Roman"/>
          <w:b w:val="0"/>
          <w:sz w:val="24"/>
        </w:rPr>
        <w:t>Before the formal summary, synthesize the whole hour in one minute. A chemical enters by inhalation, ingestion, skin, or prescription. Metabolism either detoxifies it or activates it. Genotoxic damage or a promotional environment follows. Initiated clones expand when inflammation, hormones, or continued smoking push proliferation. Years later a patient presents with organ-specific cancer, and the original exposure may be forgotten unless you ask. Your job in clinic is twofold: match the tumor site to plausible agents, and intervene on whatever is still modifiable — tobacco, alcohol, ongoing occupational exposure, viral hepatitis, or unsafe water. At population scale, the same logic becomes policy: tobacco control, alcohol policy, air and water quality, food storage, immunization, and industrial hygiene. If students can retell this chain without notes, the lecture has worked. Add a teaching flourish: draw a simple arrow chain on the board — Exposure, Metabolism, Initiation, Promotion, Progression, Clinical cancer, Prevention levers — and point to each arrow as you speak. This visual remains after the slides are gone.</w:t>
      </w:r>
    </w:p>
    <w:p>
      <w:pPr>
        <w:pStyle w:val="Heading2"/>
      </w:pPr>
      <w:r>
        <w:t>Slide 29. Scripted answers to likely questions</w:t>
      </w:r>
    </w:p>
    <w:p>
      <w:r>
        <w:rPr>
          <w:rFonts w:ascii="Times New Roman" w:hAnsi="Times New Roman"/>
          <w:b/>
        </w:rPr>
        <w:t>Slide cues:</w:t>
      </w:r>
    </w:p>
    <w:p>
      <w:pPr>
        <w:pStyle w:val="ListBullet"/>
      </w:pPr>
      <w:r>
        <w:rPr>
          <w:rFonts w:ascii="Times New Roman" w:hAnsi="Times New Roman"/>
          <w:sz w:val="22"/>
        </w:rPr>
        <w:t>Safe alcohol level for cancer? Risk rises with dose; no clear zero-risk level</w:t>
      </w:r>
    </w:p>
    <w:p>
      <w:pPr>
        <w:pStyle w:val="ListBullet"/>
      </w:pPr>
      <w:r>
        <w:rPr>
          <w:rFonts w:ascii="Times New Roman" w:hAnsi="Times New Roman"/>
          <w:sz w:val="22"/>
        </w:rPr>
        <w:t>Burnt food vs smoking? Same chemistry class, vastly different absolute risk</w:t>
      </w:r>
    </w:p>
    <w:p>
      <w:pPr>
        <w:pStyle w:val="ListBullet"/>
      </w:pPr>
      <w:r>
        <w:rPr>
          <w:rFonts w:ascii="Times New Roman" w:hAnsi="Times New Roman"/>
          <w:sz w:val="22"/>
        </w:rPr>
        <w:t>E-cigarettes? Fewer combustion PAHs than cigarettes; long-term cancer data incomplete</w:t>
      </w:r>
    </w:p>
    <w:p>
      <w:pPr>
        <w:pStyle w:val="ListBullet"/>
      </w:pPr>
      <w:r>
        <w:rPr>
          <w:rFonts w:ascii="Times New Roman" w:hAnsi="Times New Roman"/>
          <w:sz w:val="22"/>
        </w:rPr>
        <w:t>Natural equals safe? No — aflatoxin is natural and Group 1</w:t>
      </w:r>
    </w:p>
    <w:p>
      <w:pPr>
        <w:pStyle w:val="ListBullet"/>
      </w:pPr>
      <w:r>
        <w:rPr>
          <w:rFonts w:ascii="Times New Roman" w:hAnsi="Times New Roman"/>
          <w:sz w:val="22"/>
        </w:rPr>
        <w:t>Why still mesothelioma after asbestos bans? Latency of decades</w:t>
      </w:r>
    </w:p>
    <w:p>
      <w:r>
        <w:rPr>
          <w:rFonts w:ascii="Times New Roman" w:hAnsi="Times New Roman"/>
          <w:b/>
        </w:rPr>
        <w:t>What to say:</w:t>
      </w:r>
    </w:p>
    <w:p>
      <w:pPr>
        <w:ind w:firstLine="567"/>
      </w:pPr>
      <w:r>
        <w:rPr>
          <w:rFonts w:ascii="Times New Roman" w:hAnsi="Times New Roman"/>
          <w:b w:val="0"/>
          <w:sz w:val="24"/>
        </w:rPr>
        <w:t>Use this slide only if questions are slow to start, or print it as your own prompt card. Question one: is there a safe amount of alcohol for cancer risk? Answer: cancer risk increases with dose; unlike some cardiovascular debates, oncology does not endorse a safe threshold. Question two: how worried should we be about barbecued meat? Polycyclic aromatic hydrocarbons form, but absolute risk from occasional dietary exposure is small compared with smoking — counsel proportionately. Question three: are electronic cigarettes safe? They usually reduce combustion products relative to combustible tobacco, yet they are not risk-free, nicotine is addictive, and decades-long cancer follow-up is still incomplete; complete cessation remains the goal. Question four: if something is natural, is it safe? No. Aflatoxin is entirely natural and strongly carcinogenic. Question five: why do we still see mesothelioma after asbestos bans? Because latency often exceeds thirty years and legacy materials remain in older buildings. These five answers cover most audience anxiety. If a student asks about mobile phones or power lines, redirect briefly: today's lecture is chemical carcinogenesis; non-ionizing radiation is a separate evidence discussion and should not crowd out tobacco, alcohol, asbestos, and aflatoxin.</w:t>
      </w:r>
    </w:p>
    <w:p>
      <w:pPr>
        <w:pStyle w:val="Heading2"/>
      </w:pPr>
      <w:r>
        <w:t>Slide 30. Summary — take-home messages</w:t>
      </w:r>
    </w:p>
    <w:p>
      <w:r>
        <w:rPr>
          <w:rFonts w:ascii="Times New Roman" w:hAnsi="Times New Roman"/>
          <w:b/>
        </w:rPr>
        <w:t>Slide cues:</w:t>
      </w:r>
    </w:p>
    <w:p>
      <w:pPr>
        <w:pStyle w:val="ListBullet"/>
      </w:pPr>
      <w:r>
        <w:rPr>
          <w:rFonts w:ascii="Times New Roman" w:hAnsi="Times New Roman"/>
          <w:sz w:val="22"/>
        </w:rPr>
        <w:t>Chemical carcinogenesis is multistage: initiation → promotion → progression</w:t>
      </w:r>
    </w:p>
    <w:p>
      <w:pPr>
        <w:pStyle w:val="ListBullet"/>
      </w:pPr>
      <w:r>
        <w:rPr>
          <w:rFonts w:ascii="Times New Roman" w:hAnsi="Times New Roman"/>
          <w:sz w:val="22"/>
        </w:rPr>
        <w:t>Separate genotoxic from non-genotoxic mechanisms for risk thinking</w:t>
      </w:r>
    </w:p>
    <w:p>
      <w:pPr>
        <w:pStyle w:val="ListBullet"/>
      </w:pPr>
      <w:r>
        <w:rPr>
          <w:rFonts w:ascii="Times New Roman" w:hAnsi="Times New Roman"/>
          <w:sz w:val="22"/>
        </w:rPr>
        <w:t>Know signature agents and cancer sites</w:t>
      </w:r>
    </w:p>
    <w:p>
      <w:pPr>
        <w:pStyle w:val="ListBullet"/>
      </w:pPr>
      <w:r>
        <w:rPr>
          <w:rFonts w:ascii="Times New Roman" w:hAnsi="Times New Roman"/>
          <w:sz w:val="22"/>
        </w:rPr>
        <w:t>IARC classifies hazard; dose and context determine individual risk</w:t>
      </w:r>
    </w:p>
    <w:p>
      <w:pPr>
        <w:pStyle w:val="ListBullet"/>
      </w:pPr>
      <w:r>
        <w:rPr>
          <w:rFonts w:ascii="Times New Roman" w:hAnsi="Times New Roman"/>
          <w:sz w:val="22"/>
        </w:rPr>
        <w:t>Prevention and a careful exposure history are core clinical skills</w:t>
      </w:r>
    </w:p>
    <w:p>
      <w:r>
        <w:rPr>
          <w:rFonts w:ascii="Times New Roman" w:hAnsi="Times New Roman"/>
          <w:b/>
        </w:rPr>
        <w:t>What to say:</w:t>
      </w:r>
    </w:p>
    <w:p>
      <w:pPr>
        <w:ind w:firstLine="567"/>
      </w:pPr>
      <w:r>
        <w:rPr>
          <w:rFonts w:ascii="Times New Roman" w:hAnsi="Times New Roman"/>
          <w:b w:val="0"/>
          <w:sz w:val="24"/>
        </w:rPr>
        <w:t>Five take-home messages. First, chemical carcinogenesis is multistage: initiation, promotion, progression — a mutation alone is rarely enough for clinical cancer. Second, separate genotoxic from non-genotoxic mechanisms when you think about thresholds and public reassurance. Third, memorize signature pairs: aromatic amines and bladder; aflatoxin and liver; asbestos and mesothelioma; PAHs and tobacco-related lung cancer; benzene and AML; vinyl chloride and angiosarcoma; alkylators and therapy-related leukemia; alcohol and upper aerodigestive, liver, and breast cancers. Fourth, IARC tells you whether an agent can cause cancer; epidemiology and dose tell you how much risk your patient faces — do not confuse hazard headlines with personal risk. Fifth, ask about exposures and prevent what is preventable. That bridge from molecular toxicology to ordinary clinical care is the point of this lecture. Read the five bullets slowly. Pause after the signature-pair bullet and recite five pairs aloud with the audience. This is your memory anchor for the hour.</w:t>
      </w:r>
    </w:p>
    <w:p>
      <w:pPr>
        <w:pStyle w:val="Heading2"/>
      </w:pPr>
      <w:r>
        <w:t>Slide 31. Suggested reading &amp; questions</w:t>
      </w:r>
    </w:p>
    <w:p>
      <w:r>
        <w:rPr>
          <w:rFonts w:ascii="Times New Roman" w:hAnsi="Times New Roman"/>
          <w:b/>
        </w:rPr>
        <w:t>Slide cues:</w:t>
      </w:r>
    </w:p>
    <w:p>
      <w:pPr>
        <w:pStyle w:val="ListBullet"/>
      </w:pPr>
      <w:r>
        <w:rPr>
          <w:rFonts w:ascii="Times New Roman" w:hAnsi="Times New Roman"/>
          <w:sz w:val="22"/>
        </w:rPr>
        <w:t>IARC Monographs — classification summaries (WHO)</w:t>
      </w:r>
    </w:p>
    <w:p>
      <w:pPr>
        <w:pStyle w:val="ListBullet"/>
      </w:pPr>
      <w:r>
        <w:rPr>
          <w:rFonts w:ascii="Times New Roman" w:hAnsi="Times New Roman"/>
          <w:sz w:val="22"/>
        </w:rPr>
        <w:t>Robbins &amp; Cotran — Neoplasia; chemical carcinogenesis sections</w:t>
      </w:r>
    </w:p>
    <w:p>
      <w:pPr>
        <w:pStyle w:val="ListBullet"/>
      </w:pPr>
      <w:r>
        <w:rPr>
          <w:rFonts w:ascii="Times New Roman" w:hAnsi="Times New Roman"/>
          <w:sz w:val="22"/>
        </w:rPr>
        <w:t>WHO / IARC World Cancer Report — environmental and occupational chapters</w:t>
      </w:r>
    </w:p>
    <w:p>
      <w:pPr>
        <w:pStyle w:val="ListBullet"/>
      </w:pPr>
      <w:r>
        <w:rPr>
          <w:rFonts w:ascii="Times New Roman" w:hAnsi="Times New Roman"/>
          <w:sz w:val="22"/>
        </w:rPr>
        <w:t>Smith et al. — Key characteristics of carcinogens (Environ Health Perspect)</w:t>
      </w:r>
    </w:p>
    <w:p>
      <w:pPr>
        <w:pStyle w:val="ListBullet"/>
      </w:pPr>
      <w:r>
        <w:rPr>
          <w:rFonts w:ascii="Times New Roman" w:hAnsi="Times New Roman"/>
          <w:sz w:val="22"/>
        </w:rPr>
        <w:t>Open floor for questions — thank you</w:t>
      </w:r>
    </w:p>
    <w:p>
      <w:r>
        <w:rPr>
          <w:rFonts w:ascii="Times New Roman" w:hAnsi="Times New Roman"/>
          <w:b/>
        </w:rPr>
        <w:t>What to say:</w:t>
      </w:r>
    </w:p>
    <w:p>
      <w:pPr>
        <w:ind w:firstLine="567"/>
      </w:pPr>
      <w:r>
        <w:rPr>
          <w:rFonts w:ascii="Times New Roman" w:hAnsi="Times New Roman"/>
          <w:b w:val="0"/>
          <w:sz w:val="24"/>
        </w:rPr>
        <w:t>For further study, use IARC Monograph summaries for Group 1 agents, the neoplasia chapter in Robbins and Cotran for mechanisms, the WHO World Cancer Report for population attributable fractions, and the 'key characteristics of carcinogens' paper for modern mechanistic organization. Common questions: Is alcohol a chemical carcinogen? Yes — Group 1, with acetaldehyde as a key mediator. Are e-cigarettes safe? They typically reduce combustion-related PAH exposure compared with smoking but are not risk-free, and long-term cancer data remain incomplete; cessation of all nicotine products is ideal, while harm reduction is nuanced. Is burnt food dangerous? PAHs form, yet population risk is dwarfed by smoking. Does 'natural' mean safe? No — aflatoxin is natural and highly carcinogenic. Thank you for your attention. I am happy to take questions and to walk through any agent–cancer pair again. Open the floor. If no questions come, seed with: 'Is there a safe amount of alcohol for cancer risk?' Answer briefly: for cancer, risk rises with dose; no clear zero-risk level. Thank the audience and end on time.</w:t>
      </w:r>
    </w:p>
    <w:p>
      <w:pPr>
        <w:pStyle w:val="Heading1"/>
      </w:pPr>
      <w:r>
        <w:t>Appendix A — High-yield agent–cancer pairs</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sz w:val="22"/>
              </w:rPr>
              <w:t>Agent / class</w:t>
            </w:r>
          </w:p>
        </w:tc>
        <w:tc>
          <w:tcPr>
            <w:tcW w:type="dxa" w:w="4703"/>
          </w:tcPr>
          <w:p>
            <w:r>
              <w:rPr>
                <w:rFonts w:ascii="Times New Roman" w:hAnsi="Times New Roman"/>
                <w:sz w:val="22"/>
              </w:rPr>
              <w:t>Associated cancer(s)</w:t>
            </w:r>
          </w:p>
        </w:tc>
      </w:tr>
      <w:tr>
        <w:tc>
          <w:tcPr>
            <w:tcW w:type="dxa" w:w="4703"/>
          </w:tcPr>
          <w:p>
            <w:r>
              <w:rPr>
                <w:rFonts w:ascii="Times New Roman" w:hAnsi="Times New Roman"/>
                <w:sz w:val="22"/>
              </w:rPr>
              <w:t>Benzo[a]pyrene / PAHs (tobacco, combustion)</w:t>
            </w:r>
          </w:p>
        </w:tc>
        <w:tc>
          <w:tcPr>
            <w:tcW w:type="dxa" w:w="4703"/>
          </w:tcPr>
          <w:p>
            <w:r>
              <w:rPr>
                <w:rFonts w:ascii="Times New Roman" w:hAnsi="Times New Roman"/>
                <w:sz w:val="22"/>
              </w:rPr>
              <w:t>Lung, skin, bladder</w:t>
            </w:r>
          </w:p>
        </w:tc>
      </w:tr>
      <w:tr>
        <w:tc>
          <w:tcPr>
            <w:tcW w:type="dxa" w:w="4703"/>
          </w:tcPr>
          <w:p>
            <w:r>
              <w:rPr>
                <w:rFonts w:ascii="Times New Roman" w:hAnsi="Times New Roman"/>
                <w:sz w:val="22"/>
              </w:rPr>
              <w:t>Aromatic amines (benzidine, 2-naphthylamine)</w:t>
            </w:r>
          </w:p>
        </w:tc>
        <w:tc>
          <w:tcPr>
            <w:tcW w:type="dxa" w:w="4703"/>
          </w:tcPr>
          <w:p>
            <w:r>
              <w:rPr>
                <w:rFonts w:ascii="Times New Roman" w:hAnsi="Times New Roman"/>
                <w:sz w:val="22"/>
              </w:rPr>
              <w:t>Urothelial / bladder</w:t>
            </w:r>
          </w:p>
        </w:tc>
      </w:tr>
      <w:tr>
        <w:tc>
          <w:tcPr>
            <w:tcW w:type="dxa" w:w="4703"/>
          </w:tcPr>
          <w:p>
            <w:r>
              <w:rPr>
                <w:rFonts w:ascii="Times New Roman" w:hAnsi="Times New Roman"/>
                <w:sz w:val="22"/>
              </w:rPr>
              <w:t>Aflatoxin B1</w:t>
            </w:r>
          </w:p>
        </w:tc>
        <w:tc>
          <w:tcPr>
            <w:tcW w:type="dxa" w:w="4703"/>
          </w:tcPr>
          <w:p>
            <w:r>
              <w:rPr>
                <w:rFonts w:ascii="Times New Roman" w:hAnsi="Times New Roman"/>
                <w:sz w:val="22"/>
              </w:rPr>
              <w:t>Hepatocellular carcinoma</w:t>
            </w:r>
          </w:p>
        </w:tc>
      </w:tr>
      <w:tr>
        <w:tc>
          <w:tcPr>
            <w:tcW w:type="dxa" w:w="4703"/>
          </w:tcPr>
          <w:p>
            <w:r>
              <w:rPr>
                <w:rFonts w:ascii="Times New Roman" w:hAnsi="Times New Roman"/>
                <w:sz w:val="22"/>
              </w:rPr>
              <w:t>Tobacco-specific nitrosamines (NNK)</w:t>
            </w:r>
          </w:p>
        </w:tc>
        <w:tc>
          <w:tcPr>
            <w:tcW w:type="dxa" w:w="4703"/>
          </w:tcPr>
          <w:p>
            <w:r>
              <w:rPr>
                <w:rFonts w:ascii="Times New Roman" w:hAnsi="Times New Roman"/>
                <w:sz w:val="22"/>
              </w:rPr>
              <w:t>Lung</w:t>
            </w:r>
          </w:p>
        </w:tc>
      </w:tr>
      <w:tr>
        <w:tc>
          <w:tcPr>
            <w:tcW w:type="dxa" w:w="4703"/>
          </w:tcPr>
          <w:p>
            <w:r>
              <w:rPr>
                <w:rFonts w:ascii="Times New Roman" w:hAnsi="Times New Roman"/>
                <w:sz w:val="22"/>
              </w:rPr>
              <w:t>Asbestos</w:t>
            </w:r>
          </w:p>
        </w:tc>
        <w:tc>
          <w:tcPr>
            <w:tcW w:type="dxa" w:w="4703"/>
          </w:tcPr>
          <w:p>
            <w:r>
              <w:rPr>
                <w:rFonts w:ascii="Times New Roman" w:hAnsi="Times New Roman"/>
                <w:sz w:val="22"/>
              </w:rPr>
              <w:t>Mesothelioma, lung cancer</w:t>
            </w:r>
          </w:p>
        </w:tc>
      </w:tr>
      <w:tr>
        <w:tc>
          <w:tcPr>
            <w:tcW w:type="dxa" w:w="4703"/>
          </w:tcPr>
          <w:p>
            <w:r>
              <w:rPr>
                <w:rFonts w:ascii="Times New Roman" w:hAnsi="Times New Roman"/>
                <w:sz w:val="22"/>
              </w:rPr>
              <w:t>Arsenic</w:t>
            </w:r>
          </w:p>
        </w:tc>
        <w:tc>
          <w:tcPr>
            <w:tcW w:type="dxa" w:w="4703"/>
          </w:tcPr>
          <w:p>
            <w:r>
              <w:rPr>
                <w:rFonts w:ascii="Times New Roman" w:hAnsi="Times New Roman"/>
                <w:sz w:val="22"/>
              </w:rPr>
              <w:t>Skin, lung, bladder</w:t>
            </w:r>
          </w:p>
        </w:tc>
      </w:tr>
      <w:tr>
        <w:tc>
          <w:tcPr>
            <w:tcW w:type="dxa" w:w="4703"/>
          </w:tcPr>
          <w:p>
            <w:r>
              <w:rPr>
                <w:rFonts w:ascii="Times New Roman" w:hAnsi="Times New Roman"/>
                <w:sz w:val="22"/>
              </w:rPr>
              <w:t>Hexavalent chromium / nickel</w:t>
            </w:r>
          </w:p>
        </w:tc>
        <w:tc>
          <w:tcPr>
            <w:tcW w:type="dxa" w:w="4703"/>
          </w:tcPr>
          <w:p>
            <w:r>
              <w:rPr>
                <w:rFonts w:ascii="Times New Roman" w:hAnsi="Times New Roman"/>
                <w:sz w:val="22"/>
              </w:rPr>
              <w:t>Lung, nasal cavity</w:t>
            </w:r>
          </w:p>
        </w:tc>
      </w:tr>
      <w:tr>
        <w:tc>
          <w:tcPr>
            <w:tcW w:type="dxa" w:w="4703"/>
          </w:tcPr>
          <w:p>
            <w:r>
              <w:rPr>
                <w:rFonts w:ascii="Times New Roman" w:hAnsi="Times New Roman"/>
                <w:sz w:val="22"/>
              </w:rPr>
              <w:t>Benzene</w:t>
            </w:r>
          </w:p>
        </w:tc>
        <w:tc>
          <w:tcPr>
            <w:tcW w:type="dxa" w:w="4703"/>
          </w:tcPr>
          <w:p>
            <w:r>
              <w:rPr>
                <w:rFonts w:ascii="Times New Roman" w:hAnsi="Times New Roman"/>
                <w:sz w:val="22"/>
              </w:rPr>
              <w:t>Acute myeloid leukemia</w:t>
            </w:r>
          </w:p>
        </w:tc>
      </w:tr>
      <w:tr>
        <w:tc>
          <w:tcPr>
            <w:tcW w:type="dxa" w:w="4703"/>
          </w:tcPr>
          <w:p>
            <w:r>
              <w:rPr>
                <w:rFonts w:ascii="Times New Roman" w:hAnsi="Times New Roman"/>
                <w:sz w:val="22"/>
              </w:rPr>
              <w:t>Vinyl chloride</w:t>
            </w:r>
          </w:p>
        </w:tc>
        <w:tc>
          <w:tcPr>
            <w:tcW w:type="dxa" w:w="4703"/>
          </w:tcPr>
          <w:p>
            <w:r>
              <w:rPr>
                <w:rFonts w:ascii="Times New Roman" w:hAnsi="Times New Roman"/>
                <w:sz w:val="22"/>
              </w:rPr>
              <w:t>Hepatic angiosarcoma</w:t>
            </w:r>
          </w:p>
        </w:tc>
      </w:tr>
      <w:tr>
        <w:tc>
          <w:tcPr>
            <w:tcW w:type="dxa" w:w="4703"/>
          </w:tcPr>
          <w:p>
            <w:r>
              <w:rPr>
                <w:rFonts w:ascii="Times New Roman" w:hAnsi="Times New Roman"/>
                <w:sz w:val="22"/>
              </w:rPr>
              <w:t>Formaldehyde</w:t>
            </w:r>
          </w:p>
        </w:tc>
        <w:tc>
          <w:tcPr>
            <w:tcW w:type="dxa" w:w="4703"/>
          </w:tcPr>
          <w:p>
            <w:r>
              <w:rPr>
                <w:rFonts w:ascii="Times New Roman" w:hAnsi="Times New Roman"/>
                <w:sz w:val="22"/>
              </w:rPr>
              <w:t>Nasopharynx (+ leukemia evidence evaluated)</w:t>
            </w:r>
          </w:p>
        </w:tc>
      </w:tr>
      <w:tr>
        <w:tc>
          <w:tcPr>
            <w:tcW w:type="dxa" w:w="4703"/>
          </w:tcPr>
          <w:p>
            <w:r>
              <w:rPr>
                <w:rFonts w:ascii="Times New Roman" w:hAnsi="Times New Roman"/>
                <w:sz w:val="22"/>
              </w:rPr>
              <w:t>Alkylating chemotherapy</w:t>
            </w:r>
          </w:p>
        </w:tc>
        <w:tc>
          <w:tcPr>
            <w:tcW w:type="dxa" w:w="4703"/>
          </w:tcPr>
          <w:p>
            <w:r>
              <w:rPr>
                <w:rFonts w:ascii="Times New Roman" w:hAnsi="Times New Roman"/>
                <w:sz w:val="22"/>
              </w:rPr>
              <w:t>Therapy-related myeloid neoplasms</w:t>
            </w:r>
          </w:p>
        </w:tc>
      </w:tr>
      <w:tr>
        <w:tc>
          <w:tcPr>
            <w:tcW w:type="dxa" w:w="4703"/>
          </w:tcPr>
          <w:p>
            <w:r>
              <w:rPr>
                <w:rFonts w:ascii="Times New Roman" w:hAnsi="Times New Roman"/>
                <w:sz w:val="22"/>
              </w:rPr>
              <w:t>Unopposed estrogen / DES</w:t>
            </w:r>
          </w:p>
        </w:tc>
        <w:tc>
          <w:tcPr>
            <w:tcW w:type="dxa" w:w="4703"/>
          </w:tcPr>
          <w:p>
            <w:r>
              <w:rPr>
                <w:rFonts w:ascii="Times New Roman" w:hAnsi="Times New Roman"/>
                <w:sz w:val="22"/>
              </w:rPr>
              <w:t>Endometrium; DES → clear-cell vaginal Ca</w:t>
            </w:r>
          </w:p>
        </w:tc>
      </w:tr>
      <w:tr>
        <w:tc>
          <w:tcPr>
            <w:tcW w:type="dxa" w:w="4703"/>
          </w:tcPr>
          <w:p>
            <w:r>
              <w:rPr>
                <w:rFonts w:ascii="Times New Roman" w:hAnsi="Times New Roman"/>
                <w:sz w:val="22"/>
              </w:rPr>
              <w:t>Alcohol (acetaldehyde)</w:t>
            </w:r>
          </w:p>
        </w:tc>
        <w:tc>
          <w:tcPr>
            <w:tcW w:type="dxa" w:w="4703"/>
          </w:tcPr>
          <w:p>
            <w:r>
              <w:rPr>
                <w:rFonts w:ascii="Times New Roman" w:hAnsi="Times New Roman"/>
                <w:sz w:val="22"/>
              </w:rPr>
              <w:t>Oral cavity, pharynx, esophagus, liver, breast, colorectum</w:t>
            </w:r>
          </w:p>
        </w:tc>
      </w:tr>
    </w:tbl>
    <w:p>
      <w:pPr>
        <w:pStyle w:val="Heading1"/>
      </w:pPr>
      <w:r>
        <w:t>Appendix B — Selected references</w:t>
      </w:r>
    </w:p>
    <w:p>
      <w:r>
        <w:rPr>
          <w:rFonts w:ascii="Times New Roman" w:hAnsi="Times New Roman"/>
          <w:sz w:val="22"/>
        </w:rPr>
        <w:t>1. IARC Monographs on the Identification of Carcinogenic Hazards to Humans. Lyon: WHO/IARC. https://monographs.iarc.who.int</w:t>
      </w:r>
    </w:p>
    <w:p>
      <w:r>
        <w:rPr>
          <w:rFonts w:ascii="Times New Roman" w:hAnsi="Times New Roman"/>
          <w:sz w:val="22"/>
        </w:rPr>
        <w:t>2. Hanahan D. Hallmarks of Cancer: New Dimensions. Cancer Discov. 2022;12(1):31-46.</w:t>
      </w:r>
    </w:p>
    <w:p>
      <w:r>
        <w:rPr>
          <w:rFonts w:ascii="Times New Roman" w:hAnsi="Times New Roman"/>
          <w:sz w:val="22"/>
        </w:rPr>
        <w:t>3. Kumar V, Abbas AK, Aster JC, eds. Robbins &amp; Cotran Pathologic Basis of Disease. Neoplasia chapter. Latest edition.</w:t>
      </w:r>
    </w:p>
    <w:p>
      <w:r>
        <w:rPr>
          <w:rFonts w:ascii="Times New Roman" w:hAnsi="Times New Roman"/>
          <w:sz w:val="22"/>
        </w:rPr>
        <w:t>4. Smith MT, Guyton KZ, Gibbons CF, et al. Key Characteristics of Carcinogens as a Basis for Organizing Data on Mechanisms of Carcinogenesis. Environ Health Perspect. 2016;124(6):713-721.</w:t>
      </w:r>
    </w:p>
    <w:p>
      <w:r>
        <w:rPr>
          <w:rFonts w:ascii="Times New Roman" w:hAnsi="Times New Roman"/>
          <w:sz w:val="22"/>
        </w:rPr>
        <w:t>5. Wild CP, Weiderpass E, Stewart BW, eds. World Cancer Report: Cancer Research for Cancer Prevention. Lyon: IARC; 2020.</w:t>
      </w:r>
    </w:p>
    <w:p>
      <w:r>
        <w:rPr>
          <w:rFonts w:ascii="Times New Roman" w:hAnsi="Times New Roman"/>
          <w:sz w:val="22"/>
        </w:rPr>
        <w:t>6. Luch A. Nature and nurture – lessons from chemical carcinogenesis. Nat Rev Cancer. 2005;5(2):113-125.</w:t>
      </w:r>
    </w:p>
    <w:p>
      <w:r>
        <w:rPr>
          <w:rFonts w:ascii="Times New Roman" w:hAnsi="Times New Roman"/>
          <w:sz w:val="22"/>
        </w:rPr>
        <w:t>7. Baan R, Grosse Y, Straif K, et al. A review of human carcinogens — Part F: Chemical agents and related occupations. Lancet Oncol. 2009;10(12):1143-1144.</w:t>
      </w:r>
    </w:p>
    <w:p>
      <w:r>
        <w:rPr>
          <w:rFonts w:ascii="Times New Roman" w:hAnsi="Times New Roman"/>
          <w:sz w:val="22"/>
        </w:rPr>
        <w:t>8. International Agency for Research on Cancer. Outdoor air pollution. IARC Monographs Volume 109.</w:t>
      </w:r>
    </w:p>
    <w:p>
      <w:pPr>
        <w:pStyle w:val="Heading1"/>
      </w:pPr>
      <w:r>
        <w:t>Appendix C — Optional exam-style questions</w:t>
      </w:r>
    </w:p>
    <w:p>
      <w:r>
        <w:rPr>
          <w:rFonts w:ascii="Times New Roman" w:hAnsi="Times New Roman"/>
          <w:b w:val="0"/>
          <w:sz w:val="24"/>
        </w:rPr>
        <w:t>Q1. A dye-industry worker develops urothelial carcinoma. Which chemical class is most classically implicated, and what metabolic step is required for activation?</w:t>
      </w:r>
    </w:p>
    <w:p>
      <w:r>
        <w:rPr>
          <w:rFonts w:ascii="Times New Roman" w:hAnsi="Times New Roman"/>
          <w:b w:val="0"/>
          <w:sz w:val="24"/>
        </w:rPr>
        <w:t>A1. Aromatic amines (e.g., benzidine, 2-naphthylamine); hepatic N-hydroxylation generating reactive esters that adduct urothelial DNA.</w:t>
      </w:r>
    </w:p>
    <w:p>
      <w:r>
        <w:rPr>
          <w:rFonts w:ascii="Times New Roman" w:hAnsi="Times New Roman"/>
          <w:b w:val="0"/>
          <w:sz w:val="24"/>
        </w:rPr>
        <w:t>Q2. Why does IARC Group 1 classification not by itself tell you a patient’s personal risk?</w:t>
      </w:r>
    </w:p>
    <w:p>
      <w:r>
        <w:rPr>
          <w:rFonts w:ascii="Times New Roman" w:hAnsi="Times New Roman"/>
          <w:b w:val="0"/>
          <w:sz w:val="24"/>
        </w:rPr>
        <w:t>A2. IARC classifies hazard (evidence that an agent can cause cancer), not quantitative risk at a given dose, duration, or exposure scenario.</w:t>
      </w:r>
    </w:p>
    <w:p>
      <w:r>
        <w:rPr>
          <w:rFonts w:ascii="Times New Roman" w:hAnsi="Times New Roman"/>
          <w:b w:val="0"/>
          <w:sz w:val="24"/>
        </w:rPr>
        <w:t>Q3. Name a signature molecular lesion linking aflatoxin B1 to hepatocellular carcinoma.</w:t>
      </w:r>
    </w:p>
    <w:p>
      <w:r>
        <w:rPr>
          <w:rFonts w:ascii="Times New Roman" w:hAnsi="Times New Roman"/>
          <w:b w:val="0"/>
          <w:sz w:val="24"/>
        </w:rPr>
        <w:t>A3. TP53 R249S (codon 249 G&gt;T), especially with chronic hepatitis B co-exposure.</w:t>
      </w:r>
    </w:p>
    <w:p>
      <w:r>
        <w:rPr>
          <w:rFonts w:ascii="Times New Roman" w:hAnsi="Times New Roman"/>
          <w:b w:val="0"/>
          <w:sz w:val="24"/>
        </w:rPr>
        <w:t>Q4. Distinguish initiation from promotion in one sentence each.</w:t>
      </w:r>
    </w:p>
    <w:p>
      <w:r>
        <w:rPr>
          <w:rFonts w:ascii="Times New Roman" w:hAnsi="Times New Roman"/>
          <w:b w:val="0"/>
          <w:sz w:val="24"/>
        </w:rPr>
        <w:t>A4. Initiation: irreversible genotoxic hit creating a mutated cell. Promotion: often reversible clonal expansion of initiated cells via proliferation or inflammation.</w:t>
      </w:r>
    </w:p>
    <w:p>
      <w:r>
        <w:rPr>
          <w:rFonts w:ascii="Times New Roman" w:hAnsi="Times New Roman"/>
          <w:b w:val="0"/>
          <w:sz w:val="24"/>
        </w:rPr>
        <w:t>Q5. Name the classic cancer associated with vinyl chloride monomer exposure.</w:t>
      </w:r>
    </w:p>
    <w:p>
      <w:r>
        <w:rPr>
          <w:rFonts w:ascii="Times New Roman" w:hAnsi="Times New Roman"/>
          <w:b w:val="0"/>
          <w:sz w:val="24"/>
        </w:rPr>
        <w:t>A5. Hepatic angiosarcoma.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47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47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47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