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Requirements</w:t>
      </w:r>
    </w:p>
    <w:p>
      <w:r>
        <w:t>1. Customers must add products to a shopping cart from the product detail page; the cart must show item name, unit price, quantity, and line subtotal.</w:t>
      </w:r>
    </w:p>
    <w:p>
      <w:r>
        <w:t>2. Customers may update item quantity in the cart (minimum 1, maximum 99 per product); invalid quantities must be rejected with a clear error message.</w:t>
      </w:r>
    </w:p>
    <w:p>
      <w:r>
        <w:t>3. The cart total must equal the sum of all line subtotals; tax is calculated at 18% and displayed separately before checkout.</w:t>
      </w:r>
    </w:p>
    <w:p>
      <w:r>
        <w:t>4. Customers must apply a single discount coupon per order; expired or invalid coupons must be rejected without changing cart totals.</w:t>
      </w:r>
    </w:p>
    <w:p>
      <w:r>
        <w:t>5. At checkout, customers must provide shipping address and payment method; orders with missing required fields must not be submitted.</w:t>
      </w:r>
    </w:p>
    <w:p>
      <w:r>
        <w:t>6. After successful payment, the system must send an order confirmation email within 2 minutes containing order ID and estimated delivery date.</w:t>
      </w:r>
    </w:p>
    <w:p>
      <w:r>
        <w:t>7. Customers may remove items from the cart; removing the last item leaves an empty cart with a message prompting the user to continue shopping.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