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GreenBERT Project Report: replacement and new text for WP3 and WP4 (v4 round)</w:t>
      </w:r>
    </w:p>
    <w:p>
      <w:r>
        <w:t xml:space="preserve">Colour key: </w:t>
      </w:r>
      <w:r>
        <w:rPr>
          <w:highlight w:val="green"/>
        </w:rPr>
        <w:t>green = new or replacement text</w:t>
      </w:r>
      <w:r>
        <w:t xml:space="preserve">   </w:t>
      </w:r>
      <w:r>
        <w:rPr>
          <w:highlight w:val="yellow"/>
        </w:rPr>
        <w:t>yellow = number pending the recall audit</w:t>
      </w:r>
    </w:p>
    <w:p>
      <w:r>
        <w:rPr>
          <w:i/>
          <w:color w:val="880000"/>
          <w:sz w:val="18"/>
        </w:rPr>
        <w:t>Where to paste: each heading below names the report section it replaces or follows. Text without a highlight is context only.</w:t>
      </w:r>
    </w:p>
    <w:p>
      <w:pPr>
        <w:pStyle w:val="Heading2"/>
      </w:pPr>
      <w:r>
        <w:rPr>
          <w:color w:val="000000"/>
        </w:rPr>
        <w:t>WP3 (add at the end, after "In its final version, the engine processes...") : Rule Engine v4</w:t>
      </w:r>
    </w:p>
    <w:p>
      <w:r>
        <w:rPr>
          <w:b w:val="0"/>
          <w:i w:val="0"/>
          <w:highlight w:val="green"/>
        </w:rPr>
        <w:t>The expanded manual review described in WP4 exposed a further set of systematic errors in the v3 engine, and each of them was translated into a fourth revision of the rules. The v4 refinements fall into six blocks, each aimed at a false-positive family measured in the review.</w:t>
      </w:r>
    </w:p>
    <w:p>
      <w:r>
        <w:rPr>
          <w:b w:val="0"/>
          <w:i w:val="0"/>
          <w:highlight w:val="green"/>
        </w:rPr>
        <w:t>First, a broken-sentence guard removes text that is not a sentence at all: PDF tables that were linearised into pseudo-sentences ("gas-fired on-site CHP) 10% 8% Purchased non-renewable electricity (e.g."). A candidate is rejected when it starts mid-sentence (a lowercase letter or a closing bracket), when its parentheses are unbalanced, or when a part-of-speech tagger finds no verb in it, since a sentence without a verb cannot assert anything.</w:t>
      </w:r>
    </w:p>
    <w:p>
      <w:r>
        <w:rPr>
          <w:b w:val="0"/>
          <w:i w:val="0"/>
          <w:highlight w:val="green"/>
        </w:rPr>
        <w:t>Second, a policy-content filter removes imperative policy principles and supplier requirements ("Reduce water usage, especially in areas of high water stress", "the policy sets out four principles that suppliers are required to comply with"). These sentences describe what a policy demands, not what the company has done or promised. A bullet that carries the company's own commitment ("We are committed to ensuring...") is kept, so the filter applies a first-person test before rejecting.</w:t>
      </w:r>
    </w:p>
    <w:p>
      <w:r>
        <w:rPr>
          <w:b w:val="0"/>
          <w:i w:val="0"/>
          <w:highlight w:val="green"/>
        </w:rPr>
        <w:t>Third, the ESRS impact, risk and opportunity register is recognised directly. Unilever tags its register rows with markers such as "(OO)", "(VC)" and "Negative Impact (", and these rows describe exposures rather than conduct. Climate-scenario narratives are handled in the same block: the sentence "Net zero CO2e achieved by approximately 2070" was labelled a claim by a human annotator, but the page shows it inside a table describing the IPCC SSP1-2.6 pathway, that is, the world's trajectory under that scenario rather than Unilever's own target, which is 2039.</w:t>
      </w:r>
    </w:p>
    <w:p>
      <w:r>
        <w:rPr>
          <w:b w:val="0"/>
          <w:i w:val="0"/>
          <w:highlight w:val="green"/>
        </w:rPr>
        <w:t>Fourth, the methodology filter was extended to measurement descriptions ("water recycled is measured via meter readings (78%) or through a water mass balance (22%)") and to internal self-reference ("these voluntary targets are in line with our Environmental Policy"). Self-reference is treated as a non-claim only when the alignment is the point of the sentence, judged by its position in a short sentence; a genuine 2030 target that merely ends with a reference to policy is kept.</w:t>
      </w:r>
    </w:p>
    <w:p>
      <w:r>
        <w:rPr>
          <w:b w:val="0"/>
          <w:i w:val="0"/>
          <w:highlight w:val="green"/>
        </w:rPr>
        <w:t>Fifth, a softer activity filter removes tool usage, programme existence and partnership statements that carry no outcome ("we incorporated inputs from the World Resources Institute Aqueduct tool"). It is applied only when the sentence has neither a quantity nor a forward-looking target, so that mixed sentences that set a target and then describe the work are preserved.</w:t>
      </w:r>
    </w:p>
    <w:p>
      <w:r>
        <w:rPr>
          <w:b w:val="0"/>
          <w:i w:val="0"/>
          <w:highlight w:val="green"/>
        </w:rPr>
        <w:t>Sixth, two corrections were made to the claim-type and evidence logic in response to the finding that a number inside a sentence is not the same thing as evidence. A quantity that appears in a parameter context (a radius, a threshold, a measurement-method share) no longer makes a claim Strong and no longer counts as evidence, although the sentence still passes the detection gate so that recall is unaffected. The noun markers target, goal, pledge and plan now count as forward-looking only when the sentence contains no achievement verb, so that "we delivered on our target to collect and process more plastic than we sell" is classified as an achieved result rather than a promise, and "an annual pledge" signed by employees is no longer mistaken for a future commitment.</w:t>
      </w:r>
    </w:p>
    <w:p>
      <w:r>
        <w:rPr>
          <w:b w:val="0"/>
          <w:i w:val="0"/>
          <w:highlight w:val="green"/>
        </w:rPr>
        <w:t>Two annotation rulings were codified alongside these blocks. Advocacy that the company itself performs ("we continue to advocate externally for carbon pricing") is a claim of conduct and is retained, whereas general opinion remains a non-claim. Governance mechanisms that are verifiable properties of the company, such as remuneration linked to sustainability performance or the annual Code of Business Principles pledge, are Governance claims. Finally, the engine now writes a second file on every run containing every rejected sentence together with the filter that rejected it, which makes false negatives auditable for the first time (WP4, Activity 4.7).</w:t>
      </w:r>
    </w:p>
    <w:p>
      <w:pPr>
        <w:pStyle w:val="Heading2"/>
      </w:pPr>
      <w:r>
        <w:rPr>
          <w:color w:val="000000"/>
        </w:rPr>
        <w:t>WP4, Activity 4.1 (replace the yellow paragraph): Benchmark Dataset Construction</w:t>
      </w:r>
    </w:p>
    <w:p>
      <w:r>
        <w:rPr>
          <w:b w:val="0"/>
          <w:i w:val="0"/>
          <w:highlight w:val="green"/>
        </w:rPr>
        <w:t>The human benchmark was expanded from the 26-claim development sample to a manual review of 100 candidates extracted by the v3 engine from the Unilever sustainability statement, carried out with the WP1.5 protocol. One rule was added to the guideline during this round: when a sentence is ambiguous on its own, the annotator may consult the source page before labelling, which is why every candidate carries its page number. The review also produced three guideline rulings that are now part of the protocol: advocacy performed by the company is a claim, scenario descriptions and measurement-method sentences are not, and verifiable governance mechanisms are Governance claims.</w:t>
      </w:r>
    </w:p>
    <w:p>
      <w:pPr>
        <w:pStyle w:val="Heading2"/>
      </w:pPr>
      <w:r>
        <w:rPr>
          <w:color w:val="000000"/>
        </w:rPr>
        <w:t>WP4, Activity 4.2 (replace the yellow paragraph and the paragraph after Table 2): Claim Extraction Evaluation</w:t>
      </w:r>
    </w:p>
    <w:p>
      <w:r>
        <w:rPr>
          <w:b w:val="0"/>
          <w:i w:val="0"/>
          <w:highlight w:val="green"/>
        </w:rPr>
        <w:t>Three measurements now describe extraction precision, and they should be read together. On the 26-claim development sample, successive filter refinement raised precision from 42% (v1) to 92% (v3) at complete recall (Table 2); because the v3 filters were tuned on that sample, this figure is a development result rather than an estimate of general performance. On the independent 100-candidate manual benchmark, v3 precision is 67%. On the full v3 output of 416 candidates, an automated large-language-model auditor applying the same operational definition measured 33%, confirming, as in the earlier round, that the automated auditor is systematically stricter than human annotators; its figure is read as a lower bound. Row-level agreement between the human labels and the automated auditor on the shared candidates was 73%, and every disagreement was a candidate the human accepted and the auditor rejected, concentrated in the three families that produced the guideline rulings above.</w:t>
      </w:r>
    </w:p>
    <w:p>
      <w:r>
        <w:rPr>
          <w:b w:val="0"/>
          <w:i/>
          <w:highlight w:val="green"/>
        </w:rPr>
        <w:t>Table 3. Precision of engine versions v3 and v4 on the Unilever sustainability statement, measured against the human benchmark labels and against the automated full-corpus audit.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tcPr>
          <w:p>
            <w:r/>
            <w:r>
              <w:rPr>
                <w:rFonts w:ascii="Times New Roman" w:hAnsi="Times New Roman"/>
                <w:b/>
                <w:sz w:val="18"/>
                <w:highlight w:val="green"/>
              </w:rPr>
              <w:t>Measure</w:t>
            </w:r>
          </w:p>
        </w:tc>
        <w:tc>
          <w:tcPr>
            <w:tcW w:type="dxa" w:w="1152"/>
          </w:tcPr>
          <w:p>
            <w:r/>
            <w:r>
              <w:rPr>
                <w:rFonts w:ascii="Times New Roman" w:hAnsi="Times New Roman"/>
                <w:b/>
                <w:sz w:val="18"/>
                <w:highlight w:val="green"/>
              </w:rPr>
              <w:t>v3</w:t>
            </w:r>
          </w:p>
        </w:tc>
        <w:tc>
          <w:tcPr>
            <w:tcW w:type="dxa" w:w="1584"/>
          </w:tcPr>
          <w:p>
            <w:r/>
            <w:r>
              <w:rPr>
                <w:rFonts w:ascii="Times New Roman" w:hAnsi="Times New Roman"/>
                <w:b/>
                <w:sz w:val="18"/>
                <w:highlight w:val="green"/>
              </w:rPr>
              <w:t>v4.0 (precision blocks)</w:t>
            </w:r>
          </w:p>
        </w:tc>
        <w:tc>
          <w:tcPr>
            <w:tcW w:type="dxa" w:w="1584"/>
          </w:tcPr>
          <w:p>
            <w:r/>
            <w:r>
              <w:rPr>
                <w:rFonts w:ascii="Times New Roman" w:hAnsi="Times New Roman"/>
                <w:b/>
                <w:sz w:val="18"/>
                <w:highlight w:val="green"/>
              </w:rPr>
              <w:t>v4 final (+ recall fixes)</w:t>
            </w:r>
          </w:p>
        </w:tc>
        <w:tc>
          <w:tcPr>
            <w:tcW w:type="dxa" w:w="2736"/>
          </w:tcPr>
          <w:p>
            <w:r/>
            <w:r>
              <w:rPr>
                <w:rFonts w:ascii="Times New Roman" w:hAnsi="Times New Roman"/>
                <w:b/>
                <w:sz w:val="18"/>
                <w:highlight w:val="green"/>
              </w:rPr>
              <w:t>Notes</w:t>
            </w:r>
          </w:p>
        </w:tc>
      </w:tr>
      <w:tr>
        <w:tc>
          <w:tcPr>
            <w:tcW w:type="dxa" w:w="3024"/>
          </w:tcPr>
          <w:p>
            <w:r/>
            <w:r>
              <w:rPr>
                <w:rFonts w:ascii="Times New Roman" w:hAnsi="Times New Roman"/>
                <w:sz w:val="18"/>
                <w:highlight w:val="green"/>
              </w:rPr>
              <w:t>Candidates extracted</w:t>
            </w:r>
          </w:p>
        </w:tc>
        <w:tc>
          <w:tcPr>
            <w:tcW w:type="dxa" w:w="1152"/>
          </w:tcPr>
          <w:p>
            <w:r/>
            <w:r>
              <w:rPr>
                <w:rFonts w:ascii="Times New Roman" w:hAnsi="Times New Roman"/>
                <w:sz w:val="18"/>
                <w:highlight w:val="green"/>
              </w:rPr>
              <w:t>416</w:t>
            </w:r>
          </w:p>
        </w:tc>
        <w:tc>
          <w:tcPr>
            <w:tcW w:type="dxa" w:w="1584"/>
          </w:tcPr>
          <w:p>
            <w:r/>
            <w:r>
              <w:rPr>
                <w:rFonts w:ascii="Times New Roman" w:hAnsi="Times New Roman"/>
                <w:sz w:val="18"/>
                <w:highlight w:val="green"/>
              </w:rPr>
              <w:t>351</w:t>
            </w:r>
          </w:p>
        </w:tc>
        <w:tc>
          <w:tcPr>
            <w:tcW w:type="dxa" w:w="1584"/>
          </w:tcPr>
          <w:p>
            <w:r/>
            <w:r>
              <w:rPr>
                <w:rFonts w:ascii="Times New Roman" w:hAnsi="Times New Roman"/>
                <w:sz w:val="18"/>
                <w:highlight w:val="green"/>
              </w:rPr>
              <w:t>585</w:t>
            </w:r>
          </w:p>
        </w:tc>
        <w:tc>
          <w:tcPr>
            <w:tcW w:type="dxa" w:w="2736"/>
          </w:tcPr>
          <w:p>
            <w:r/>
            <w:r>
              <w:rPr>
                <w:rFonts w:ascii="Times New Roman" w:hAnsi="Times New Roman"/>
                <w:sz w:val="18"/>
                <w:highlight w:val="green"/>
              </w:rPr>
              <w:t>v4 final admits S and G claims the gate previously missed</w:t>
            </w:r>
          </w:p>
        </w:tc>
      </w:tr>
      <w:tr>
        <w:tc>
          <w:tcPr>
            <w:tcW w:type="dxa" w:w="3024"/>
          </w:tcPr>
          <w:p>
            <w:r/>
            <w:r>
              <w:rPr>
                <w:rFonts w:ascii="Times New Roman" w:hAnsi="Times New Roman"/>
                <w:sz w:val="18"/>
                <w:highlight w:val="green"/>
              </w:rPr>
              <w:t>Precision, human-labelled candidates</w:t>
            </w:r>
          </w:p>
        </w:tc>
        <w:tc>
          <w:tcPr>
            <w:tcW w:type="dxa" w:w="1152"/>
          </w:tcPr>
          <w:p>
            <w:r/>
            <w:r>
              <w:rPr>
                <w:rFonts w:ascii="Times New Roman" w:hAnsi="Times New Roman"/>
                <w:sz w:val="18"/>
                <w:highlight w:val="green"/>
              </w:rPr>
              <w:t>63% (31/49)</w:t>
            </w:r>
          </w:p>
        </w:tc>
        <w:tc>
          <w:tcPr>
            <w:tcW w:type="dxa" w:w="1584"/>
          </w:tcPr>
          <w:p>
            <w:r/>
            <w:r>
              <w:rPr>
                <w:rFonts w:ascii="Times New Roman" w:hAnsi="Times New Roman"/>
                <w:sz w:val="18"/>
                <w:highlight w:val="green"/>
              </w:rPr>
              <w:t>72% (23/32)</w:t>
            </w:r>
          </w:p>
        </w:tc>
        <w:tc>
          <w:tcPr>
            <w:tcW w:type="dxa" w:w="1584"/>
          </w:tcPr>
          <w:p>
            <w:r/>
            <w:r>
              <w:rPr>
                <w:rFonts w:ascii="Times New Roman" w:hAnsi="Times New Roman"/>
                <w:sz w:val="18"/>
                <w:highlight w:val="green"/>
              </w:rPr>
              <w:t>72% (23/32)</w:t>
            </w:r>
          </w:p>
        </w:tc>
        <w:tc>
          <w:tcPr>
            <w:tcW w:type="dxa" w:w="2736"/>
          </w:tcPr>
          <w:p>
            <w:r/>
            <w:r>
              <w:rPr>
                <w:rFonts w:ascii="Times New Roman" w:hAnsi="Times New Roman"/>
                <w:sz w:val="18"/>
                <w:highlight w:val="green"/>
              </w:rPr>
              <w:t>candidates from the 100-claim review that each version retains</w:t>
            </w:r>
          </w:p>
        </w:tc>
      </w:tr>
      <w:tr>
        <w:tc>
          <w:tcPr>
            <w:tcW w:type="dxa" w:w="3024"/>
          </w:tcPr>
          <w:p>
            <w:r/>
            <w:r>
              <w:rPr>
                <w:rFonts w:ascii="Times New Roman" w:hAnsi="Times New Roman"/>
                <w:sz w:val="18"/>
                <w:highlight w:val="green"/>
              </w:rPr>
              <w:t>Precision, automated audit</w:t>
            </w:r>
          </w:p>
        </w:tc>
        <w:tc>
          <w:tcPr>
            <w:tcW w:type="dxa" w:w="1152"/>
          </w:tcPr>
          <w:p>
            <w:r/>
            <w:r>
              <w:rPr>
                <w:rFonts w:ascii="Times New Roman" w:hAnsi="Times New Roman"/>
                <w:sz w:val="18"/>
                <w:highlight w:val="green"/>
              </w:rPr>
              <w:t>33%</w:t>
            </w:r>
          </w:p>
        </w:tc>
        <w:tc>
          <w:tcPr>
            <w:tcW w:type="dxa" w:w="1584"/>
          </w:tcPr>
          <w:p>
            <w:r/>
            <w:r>
              <w:rPr>
                <w:rFonts w:ascii="Times New Roman" w:hAnsi="Times New Roman"/>
                <w:sz w:val="18"/>
                <w:highlight w:val="green"/>
              </w:rPr>
              <w:t>39%</w:t>
            </w:r>
          </w:p>
        </w:tc>
        <w:tc>
          <w:tcPr>
            <w:tcW w:type="dxa" w:w="1584"/>
          </w:tcPr>
          <w:p>
            <w:r/>
            <w:r>
              <w:rPr>
                <w:rFonts w:ascii="Times New Roman" w:hAnsi="Times New Roman"/>
                <w:sz w:val="18"/>
                <w:highlight w:val="green"/>
              </w:rPr>
              <w:t>44%</w:t>
            </w:r>
          </w:p>
        </w:tc>
        <w:tc>
          <w:tcPr>
            <w:tcW w:type="dxa" w:w="2736"/>
          </w:tcPr>
          <w:p>
            <w:r/>
            <w:r>
              <w:rPr>
                <w:rFonts w:ascii="Times New Roman" w:hAnsi="Times New Roman"/>
                <w:sz w:val="18"/>
                <w:highlight w:val="green"/>
              </w:rPr>
              <w:t>every candidate of each version carries an audit verdict</w:t>
            </w:r>
          </w:p>
        </w:tc>
      </w:tr>
      <w:tr>
        <w:tc>
          <w:tcPr>
            <w:tcW w:type="dxa" w:w="3024"/>
          </w:tcPr>
          <w:p>
            <w:r/>
            <w:r>
              <w:rPr>
                <w:rFonts w:ascii="Times New Roman" w:hAnsi="Times New Roman"/>
                <w:sz w:val="18"/>
                <w:highlight w:val="green"/>
              </w:rPr>
              <w:t>Recall, against all audited genuine claims</w:t>
            </w:r>
          </w:p>
        </w:tc>
        <w:tc>
          <w:tcPr>
            <w:tcW w:type="dxa" w:w="1152"/>
          </w:tcPr>
          <w:p>
            <w:r/>
            <w:r>
              <w:rPr>
                <w:rFonts w:ascii="Times New Roman" w:hAnsi="Times New Roman"/>
                <w:sz w:val="18"/>
                <w:highlight w:val="green"/>
              </w:rPr>
              <w:t>not measurable</w:t>
            </w:r>
          </w:p>
        </w:tc>
        <w:tc>
          <w:tcPr>
            <w:tcW w:type="dxa" w:w="1584"/>
          </w:tcPr>
          <w:p>
            <w:r/>
            <w:r>
              <w:rPr>
                <w:rFonts w:ascii="Times New Roman" w:hAnsi="Times New Roman"/>
                <w:sz w:val="18"/>
                <w:highlight w:val="green"/>
              </w:rPr>
              <w:t>48%</w:t>
            </w:r>
          </w:p>
        </w:tc>
        <w:tc>
          <w:tcPr>
            <w:tcW w:type="dxa" w:w="1584"/>
          </w:tcPr>
          <w:p>
            <w:r/>
            <w:r>
              <w:rPr>
                <w:rFonts w:ascii="Times New Roman" w:hAnsi="Times New Roman"/>
                <w:sz w:val="18"/>
                <w:highlight w:val="green"/>
              </w:rPr>
              <w:t>73%</w:t>
            </w:r>
          </w:p>
        </w:tc>
        <w:tc>
          <w:tcPr>
            <w:tcW w:type="dxa" w:w="2736"/>
          </w:tcPr>
          <w:p>
            <w:r/>
            <w:r>
              <w:rPr>
                <w:rFonts w:ascii="Times New Roman" w:hAnsi="Times New Roman"/>
                <w:sz w:val="18"/>
                <w:highlight w:val="green"/>
              </w:rPr>
              <w:t>first measured through the rejected-sentence file (Activity 4.7)</w:t>
            </w:r>
          </w:p>
        </w:tc>
      </w:tr>
      <w:tr>
        <w:tc>
          <w:tcPr>
            <w:tcW w:type="dxa" w:w="3024"/>
          </w:tcPr>
          <w:p>
            <w:r/>
            <w:r>
              <w:rPr>
                <w:rFonts w:ascii="Times New Roman" w:hAnsi="Times New Roman"/>
                <w:sz w:val="18"/>
                <w:highlight w:val="green"/>
              </w:rPr>
              <w:t>Strong class, share of false positives</w:t>
            </w:r>
          </w:p>
        </w:tc>
        <w:tc>
          <w:tcPr>
            <w:tcW w:type="dxa" w:w="1152"/>
          </w:tcPr>
          <w:p>
            <w:r/>
            <w:r>
              <w:rPr>
                <w:rFonts w:ascii="Times New Roman" w:hAnsi="Times New Roman"/>
                <w:sz w:val="18"/>
                <w:highlight w:val="green"/>
              </w:rPr>
              <w:t>43%</w:t>
            </w:r>
          </w:p>
        </w:tc>
        <w:tc>
          <w:tcPr>
            <w:tcW w:type="dxa" w:w="1584"/>
          </w:tcPr>
          <w:p>
            <w:r/>
            <w:r>
              <w:rPr>
                <w:rFonts w:ascii="Times New Roman" w:hAnsi="Times New Roman"/>
                <w:sz w:val="18"/>
                <w:highlight w:val="green"/>
              </w:rPr>
              <w:t>32%</w:t>
            </w:r>
          </w:p>
        </w:tc>
        <w:tc>
          <w:tcPr>
            <w:tcW w:type="dxa" w:w="1584"/>
          </w:tcPr>
          <w:p>
            <w:r/>
            <w:r>
              <w:rPr>
                <w:rFonts w:ascii="Times New Roman" w:hAnsi="Times New Roman"/>
                <w:sz w:val="18"/>
                <w:highlight w:val="green"/>
              </w:rPr>
              <w:t>37%</w:t>
            </w:r>
          </w:p>
        </w:tc>
        <w:tc>
          <w:tcPr>
            <w:tcW w:type="dxa" w:w="2736"/>
          </w:tcPr>
          <w:p>
            <w:r/>
            <w:r>
              <w:rPr>
                <w:rFonts w:ascii="Times New Roman" w:hAnsi="Times New Roman"/>
                <w:sz w:val="18"/>
                <w:highlight w:val="green"/>
              </w:rPr>
              <w:t>parameter-number correction; count units added in v4 final</w:t>
            </w:r>
          </w:p>
        </w:tc>
      </w:tr>
      <w:tr>
        <w:tc>
          <w:tcPr>
            <w:tcW w:type="dxa" w:w="3024"/>
          </w:tcPr>
          <w:p>
            <w:r/>
            <w:r>
              <w:rPr>
                <w:rFonts w:ascii="Times New Roman" w:hAnsi="Times New Roman"/>
                <w:sz w:val="18"/>
                <w:highlight w:val="green"/>
              </w:rPr>
              <w:t>E / Vague / No-evidence cell, share of false positives</w:t>
            </w:r>
          </w:p>
        </w:tc>
        <w:tc>
          <w:tcPr>
            <w:tcW w:type="dxa" w:w="1152"/>
          </w:tcPr>
          <w:p>
            <w:r/>
            <w:r>
              <w:rPr>
                <w:rFonts w:ascii="Times New Roman" w:hAnsi="Times New Roman"/>
                <w:sz w:val="18"/>
                <w:highlight w:val="green"/>
              </w:rPr>
              <w:t>76%</w:t>
            </w:r>
          </w:p>
        </w:tc>
        <w:tc>
          <w:tcPr>
            <w:tcW w:type="dxa" w:w="1584"/>
          </w:tcPr>
          <w:p>
            <w:r/>
            <w:r>
              <w:rPr>
                <w:rFonts w:ascii="Times New Roman" w:hAnsi="Times New Roman"/>
                <w:sz w:val="18"/>
                <w:highlight w:val="green"/>
              </w:rPr>
              <w:t>69%</w:t>
            </w:r>
          </w:p>
        </w:tc>
        <w:tc>
          <w:tcPr>
            <w:tcW w:type="dxa" w:w="1584"/>
          </w:tcPr>
          <w:p>
            <w:r/>
            <w:r>
              <w:rPr>
                <w:rFonts w:ascii="Times New Roman" w:hAnsi="Times New Roman"/>
                <w:sz w:val="18"/>
                <w:highlight w:val="green"/>
              </w:rPr>
              <w:t>63%</w:t>
            </w:r>
          </w:p>
        </w:tc>
        <w:tc>
          <w:tcPr>
            <w:tcW w:type="dxa" w:w="2736"/>
          </w:tcPr>
          <w:p>
            <w:r/>
            <w:r>
              <w:rPr>
                <w:rFonts w:ascii="Times New Roman" w:hAnsi="Times New Roman"/>
                <w:sz w:val="18"/>
                <w:highlight w:val="green"/>
              </w:rPr>
              <w:t>the default channel, see Activity 4.4</w:t>
            </w:r>
          </w:p>
        </w:tc>
      </w:tr>
      <w:tr>
        <w:tc>
          <w:tcPr>
            <w:tcW w:type="dxa" w:w="3024"/>
          </w:tcPr>
          <w:p>
            <w:r/>
            <w:r>
              <w:rPr>
                <w:rFonts w:ascii="Times New Roman" w:hAnsi="Times New Roman"/>
                <w:sz w:val="18"/>
                <w:highlight w:val="green"/>
              </w:rPr>
              <w:t>ESG split of candidates (E / S / G)</w:t>
            </w:r>
          </w:p>
        </w:tc>
        <w:tc>
          <w:tcPr>
            <w:tcW w:type="dxa" w:w="1152"/>
          </w:tcPr>
          <w:p>
            <w:r/>
            <w:r>
              <w:rPr>
                <w:rFonts w:ascii="Times New Roman" w:hAnsi="Times New Roman"/>
                <w:sz w:val="18"/>
                <w:highlight w:val="green"/>
              </w:rPr>
              <w:t>380 / 26 / 10</w:t>
            </w:r>
          </w:p>
        </w:tc>
        <w:tc>
          <w:tcPr>
            <w:tcW w:type="dxa" w:w="1584"/>
          </w:tcPr>
          <w:p>
            <w:r/>
            <w:r>
              <w:rPr>
                <w:rFonts w:ascii="Times New Roman" w:hAnsi="Times New Roman"/>
                <w:sz w:val="18"/>
                <w:highlight w:val="green"/>
              </w:rPr>
              <w:t>318 / 22 / 11</w:t>
            </w:r>
          </w:p>
        </w:tc>
        <w:tc>
          <w:tcPr>
            <w:tcW w:type="dxa" w:w="1584"/>
          </w:tcPr>
          <w:p>
            <w:r/>
            <w:r>
              <w:rPr>
                <w:rFonts w:ascii="Times New Roman" w:hAnsi="Times New Roman"/>
                <w:sz w:val="18"/>
                <w:highlight w:val="green"/>
              </w:rPr>
              <w:t>308 / 182 / 95</w:t>
            </w:r>
          </w:p>
        </w:tc>
        <w:tc>
          <w:tcPr>
            <w:tcW w:type="dxa" w:w="2736"/>
          </w:tcPr>
          <w:p>
            <w:r/>
            <w:r>
              <w:rPr>
                <w:rFonts w:ascii="Times New Roman" w:hAnsi="Times New Roman"/>
                <w:sz w:val="18"/>
                <w:highlight w:val="green"/>
              </w:rPr>
              <w:t>v4 final is a genuine ESG extractor</w:t>
            </w:r>
          </w:p>
        </w:tc>
      </w:tr>
    </w:tbl>
    <w:p>
      <w:r>
        <w:rPr>
          <w:b w:val="0"/>
          <w:i w:val="0"/>
          <w:highlight w:val="green"/>
        </w:rPr>
        <w:t>The v4 gains came in two steps. The six precision blocks removed 65 candidates, all of them judged non-claims by the audit and none an audited claim, raising audited precision from 33% to 39% at unchanged recall. The recall fixes described in Activity 4.7 then widened the detection gate, raising recall from 48% to 73% while precision rose further to 44%, so that the final engine is better than v3 on both measures at once. Because the filters and vocabularies were designed from the categorised errors of the same audited rows, these figures are in-sample results; the fresh benchmark for the final engine is a further manual review of its output under the same protocol.</w:t>
      </w:r>
    </w:p>
    <w:p>
      <w:pPr>
        <w:pStyle w:val="Heading2"/>
      </w:pPr>
      <w:r>
        <w:rPr>
          <w:color w:val="000000"/>
        </w:rPr>
        <w:t>WP4, Activity 4.4 (replace): Error Analysis</w:t>
      </w:r>
    </w:p>
    <w:p>
      <w:r>
        <w:rPr>
          <w:b w:val="0"/>
          <w:i w:val="0"/>
          <w:highlight w:val="green"/>
        </w:rPr>
        <w:t>The 100-candidate review and the full-corpus audit revealed four systematic weaknesses in the v3 extractor. First, the combination of an Environmental type, a Vague claim type and no evidence acts as a default channel through which most false positives enter the output: any sentence that passes the topic and assertion gate without a quantity or a future marker is assigned exactly this combination, so methodology descriptions, general statements and definitions are recorded as vague claims. The cell is the largest in the corpus, 136 of 416 rows (33%), and the audit found 76% of it to be non-claims. Repairing it requires care, because the same cell contains the claims most relevant to greenwashing detection: an unmeasured assertion such as "we are committed to a sustainable future" is precisely the unsubstantiated language the framework exists to flag. The cell where the greenwashing signal is strongest is therefore also the cell where lexical extraction is least reliable, and discarding it would remove the claims the system most needs to keep.</w:t>
      </w:r>
    </w:p>
    <w:p>
      <w:r>
        <w:rPr>
          <w:b w:val="0"/>
          <w:i w:val="0"/>
          <w:highlight w:val="green"/>
        </w:rPr>
        <w:t>Second, a number inside a sentence is not the same thing as evidence for a claim. In candidates labelled Strong, a quantity was always present, but it was often a methodological parameter (a site-selection radius of 1 km, a measurement-method share of 78%), a figure attached to an unrelated topic, or the projected size of a promise rather than a measured result; the audit found 43% of the Strong class to be non-claims. Third, the extractor occasionally admits text that is not a sentence at all, table rows linearised by PDF extraction that carry a topic keyword and a stray percentage. Fourth, the single-sentence unit of analysis loses claims whose meaning spans several sentences: fragments opening with anaphoric words such as "this" or "these" (9% of extracted rows) rarely make sense in isolation, while the complementary failure, a topic word and an assertion falling in adjacent sentences so that no single sentence passes the gate, is invisible to the sentence-level engine and is examined in Activity 4.7.</w:t>
      </w:r>
    </w:p>
    <w:p>
      <w:r>
        <w:rPr>
          <w:b w:val="0"/>
          <w:i w:val="0"/>
          <w:highlight w:val="green"/>
        </w:rPr>
        <w:t>Across all 279 false positives of the v3 output, the audit distributed the errors as follows: reporting methodology and definitions 28%, activity and tool-usage reports 22%, risk and scenario descriptions 15%, policy-principle bullets 10%, general advocacy and opinion 9%, anaphoric fragments 5%, table fragments 4%, governance role descriptions 4%, and other 3%. Type assignment was comparatively reliable: on the audited genuine claims, the engine's E/S/G label agreed with the audit in 90% of cases, and the human annotator's disagreements were concentrated in social claims (human rights, Indigenous peoples' rights) labelled Environmental by association with the word sustainability.</w:t>
      </w:r>
    </w:p>
    <w:p>
      <w:pPr>
        <w:pStyle w:val="Heading2"/>
      </w:pPr>
      <w:r>
        <w:rPr>
          <w:color w:val="000000"/>
        </w:rPr>
        <w:t>WP4, Activity 4.5 (replace): Rule Improvement Assessment</w:t>
      </w:r>
    </w:p>
    <w:p>
      <w:r>
        <w:rPr>
          <w:b w:val="0"/>
          <w:i w:val="0"/>
          <w:highlight w:val="green"/>
        </w:rPr>
        <w:t>The refinement loop now has four steps: v1 (topic and assertion gate) → observed false positives: methodology, governance, advocacy → non-claim filter taxonomy → v2 → residual errors: governance role descriptions, mandatory ESRS reporting elements → dedicated governance and methodology filters → v3 → expanded 100-candidate review and 416-row audit: policy bullets, register rows, scenarios, table fragments, parameter numbers, self-reference → six v4 blocks and two annotation rulings → v4. Each version was designed to remove the error categories observed in the previous one, and Table 3 quantifies the last step.</w:t>
      </w:r>
    </w:p>
    <w:p>
      <w:pPr>
        <w:pStyle w:val="Heading2"/>
      </w:pPr>
      <w:r>
        <w:rPr>
          <w:color w:val="000000"/>
        </w:rPr>
        <w:t>WP4, Activity 4.6 (add one paragraph at the end): Baseline Limit Analysis</w:t>
      </w:r>
    </w:p>
    <w:p>
      <w:r>
        <w:rPr>
          <w:b w:val="0"/>
          <w:i w:val="0"/>
          <w:highlight w:val="green"/>
        </w:rPr>
        <w:t>The scenario sentence discussed in WP3 shows the limit from the opposite direction. "Net zero CO2e achieved by approximately 2070" contains a topic, an achievement verb and a year, passes every lexical test, and misled a careful human annotator working sentence by sentence; only the surrounding table reveals that it describes an IPCC pathway rather than a company target. Context can therefore turn a convincing candidate into a non-claim just as it can turn a fragment into a claim, and neither direction is available to a classifier that sees one sentence at a time. This is the most direct argument in the study for classifying sentences with a window of surrounding context in WP5.</w:t>
      </w:r>
    </w:p>
    <w:p>
      <w:pPr>
        <w:pStyle w:val="Heading2"/>
      </w:pPr>
      <w:r>
        <w:rPr>
          <w:color w:val="000000"/>
        </w:rPr>
        <w:t>WP4, new Activity 4.7 (add after 4.6): Recall Estimation and the Recall Revision</w:t>
      </w:r>
    </w:p>
    <w:p>
      <w:r>
        <w:rPr>
          <w:b w:val="0"/>
          <w:i w:val="0"/>
          <w:highlight w:val="green"/>
        </w:rPr>
        <w:t>Until this round, recall could only be measured among the candidates the engine admitted, because rejected sentences were never recorded. The v4 engine writes every rejected sentence to a companion file together with the filter that rejected it, which for the Unilever statement contained 1,767 unique sentences. To estimate how many genuine claims the engine throws away, the full rejected set was audited with the same operational definition and the page-context rule, and every sentence flagged as a missed claim was independently re-examined by two adversarial reviewers instructed to refute the flag; only unrefuted flags count. Of 194 flagged sentences, 149 survived both reviewers, 23 were contested and 22 refuted. Against the 137 audit-confirmed claims that v4 retained, the recall of the precision-tuned engine was therefore 48% (44% if the contested sentences are also counted as misses): the engine kept roughly half of the genuine claims, and 56 of the 149 misses were measurable Strong claims.</w:t>
      </w:r>
    </w:p>
    <w:p>
      <w:r>
        <w:rPr>
          <w:b w:val="0"/>
          <w:i w:val="0"/>
          <w:highlight w:val="green"/>
        </w:rPr>
        <w:t>The distribution of the misses is more informative than the rate. Three quarters (113 of 149) were rejected at the detection gate itself rather than by any later filter: the sentence contained a genuine claim but none of the engine's action verbs, topic words or quantity units. "In 2025, we purchased more than 152 kilotonnes of recycled plastic" contains neither a listed verb nor a listed unit, and "our Shakti programme supports over 200,000 women micro-entrepreneurs" contains no environmental topic word at all, since the gate vocabulary had grown from an environmental extractor. A further 14 misses were target and metric tables linearised into blocks longer than the sentence-length limit, which is where the report's most important quantitative claims live; 8 were removed by the reference-density rule because years and scope numbers were counted as references ("an overall decrease of 5% in our total scope 1, 2 and 3 GHG emissions in 2025"); and 6 by page citations treated as navigation ("as detailed on page 97"). 29 of the 149 misses could only be recognised with page context. A random sample of 100 rejected sentences was also prepared for a blind human recall review under the same protocol; in that sample the automated audit found 6 confirmed misses, consistent with the full scan.</w:t>
      </w:r>
    </w:p>
    <w:p>
      <w:r>
        <w:rPr>
          <w:b w:val="0"/>
          <w:i w:val="0"/>
          <w:highlight w:val="green"/>
        </w:rPr>
        <w:t>These findings produced a recall revision of the engine. The action vocabulary was extended with achievement and conduct verbs, the topic vocabulary with the social and governance terms the misses used (smallholder, living wage, training, product recall, lobbying), and the quantity pattern with count units (kilotonnes, hectares, "14 countries", 142:1 ratios); years and single digits were excluded from the reference-density count; a page citation now counts as navigation only when the sentence asserts nothing; and the company's own site standards were removed from the policy filter. The first version of these changes recovered 75 of the 149 misses without losing any audited claim, but admitted 273 new candidates, of which an audit found only 66 to be claims. Scoring each added keyword by the claims and false positives it bought showed that bare verb stems were the problem: "purchase" matched the scope 3 category "purchased goods and services", "process" matched the noun, and "support" and "comply" matched process descriptions, each buying about one claim per two false positives, whereas "training", "implemented", "hectares" and "advocate" carried recall at good precision. The noisy stems were therefore kept only in first-person or past-tense form ("we purchased", "processed", "we comply"). The final engine extracts 585 candidates from the Unilever statement, every one of which carries an audit verdict: 257 claims and 324 non-claims, a precision of 44% and a recall of 73% against all genuine claims identified in the corpus, compared with 39% and 48% before the recall revision. Tables remain the largest structural gap and are the concern of the metric-extraction stream rather than the sentence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