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i w:val="0"/>
          <w:iCs w:val="0"/>
          <w:sz w:val="32"/>
          <w:szCs w:val="32"/>
          <w:rtl w:val="0"/>
        </w:rPr>
        <w:t xml:space="preserve">Analyzing Greenwashing Signals in Corporate ESG Reports: The GreenBERT Framework</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0"/>
          <w:bCs w:val="0"/>
          <w:i w:val="1"/>
          <w:iCs w:val="1"/>
          <w:sz w:val="24"/>
          <w:szCs w:val="24"/>
          <w:rtl w:val="0"/>
        </w:rPr>
        <w:t xml:space="preserve">Project Report: Working Draft (WP1–WP4)</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sz w:val="18"/>
          <w:szCs w:val="18"/>
          <w:rtl w:val="0"/>
        </w:rPr>
        <w:t xml:space="preserve">Colour key:  no highlight = existing report text   |   </w:t>
      </w:r>
      <w:r w:rsidDel="00000000" w:rsidR="00000000" w:rsidRPr="00000000">
        <w:rPr>
          <w:i w:val="1"/>
          <w:iCs w:val="1"/>
          <w:sz w:val="18"/>
          <w:szCs w:val="18"/>
          <w:highlight w:val="green"/>
          <w:rtl w:val="0"/>
        </w:rPr>
        <w:t xml:space="preserve">green = new text added</w:t>
      </w:r>
      <w:r w:rsidDel="00000000" w:rsidR="00000000" w:rsidRPr="00000000">
        <w:rPr>
          <w:i w:val="1"/>
          <w:iCs w:val="1"/>
          <w:sz w:val="18"/>
          <w:szCs w:val="18"/>
          <w:rtl w:val="0"/>
        </w:rPr>
        <w:t xml:space="preserve">   |   </w:t>
      </w:r>
      <w:r w:rsidDel="00000000" w:rsidR="00000000" w:rsidRPr="00000000">
        <w:rPr>
          <w:i w:val="1"/>
          <w:iCs w:val="1"/>
          <w:sz w:val="18"/>
          <w:szCs w:val="18"/>
          <w:highlight w:val="yellow"/>
          <w:rtl w:val="0"/>
        </w:rPr>
        <w:t xml:space="preserve">yellow = provisional; will change after the expanded 100-claim review is completed (currently based on the 26-claim sample)</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color w:val="000000"/>
          <w:rtl w:val="0"/>
        </w:rPr>
        <w:t xml:space="preserve">1. Introduction</w:t>
      </w:r>
      <w:r w:rsidDel="00000000" w:rsidR="00000000" w:rsidRPr="00000000">
        <w:rPr>
          <w:rtl w:val="0"/>
        </w:rPr>
      </w:r>
    </w:p>
    <w:p w:rsidR="00000000" w:rsidDel="00000000" w:rsidP="00000000" w:rsidRDefault="00000000" w:rsidRPr="00000000" w14:paraId="00000005">
      <w:pPr>
        <w:rPr/>
      </w:pPr>
      <w:r w:rsidDel="00000000" w:rsidR="00000000" w:rsidRPr="00000000">
        <w:rPr>
          <w:b w:val="0"/>
          <w:bCs w:val="0"/>
          <w:i w:val="0"/>
          <w:iCs w:val="0"/>
          <w:rtl w:val="0"/>
        </w:rPr>
        <w:t xml:space="preserve">As the global climate crisis accelerates, corporate transparency regarding environmental impact has evolved from a voluntary initiative into a critical economic disruptor. According to recent projections from Bloomberg Intelligence, global Environmental, Social, and Governance (ESG) linked assets under management are expected to exceed $50 trillion by 2025 (Arnell, 2025). Stakeholders ranging from individual investors to major regulatory bodies such as the European Union increasingly prioritize ESG criteria, causing the volume of corporate sustainability reports to surge. However, this rapid adoption of ESG reporting has given rise to a pervasive problem commonly referred to as "greenwashing": a deceptive practice in which an organization presents an environmentally responsible public image that contradicts its actual environmental performance. An EY 2024 Institutional Investor Survey revealed that 85% of investors view greenwashing as a rapidly worsening problem, underscoring an urgent need for robust accountability frameworks.</w:t>
      </w:r>
      <w:r w:rsidDel="00000000" w:rsidR="00000000" w:rsidRPr="00000000">
        <w:rPr>
          <w:rtl w:val="0"/>
        </w:rPr>
      </w:r>
    </w:p>
    <w:p w:rsidR="00000000" w:rsidDel="00000000" w:rsidP="00000000" w:rsidRDefault="00000000" w:rsidRPr="00000000" w14:paraId="00000006">
      <w:pPr>
        <w:rPr/>
      </w:pPr>
      <w:r w:rsidDel="00000000" w:rsidR="00000000" w:rsidRPr="00000000">
        <w:rPr>
          <w:b w:val="0"/>
          <w:bCs w:val="0"/>
          <w:i w:val="0"/>
          <w:iCs w:val="0"/>
          <w:rtl w:val="0"/>
        </w:rPr>
        <w:t xml:space="preserve">The available methods for checking the credibility of ESG reports require intensive manual labor and are highly prone to human error, resulting in long timespans before falsified reports are identified. These problems have led to environmental damage, as many greenwashing instances go undetected or their detection is substantially delayed. While recent advancements in Artificial Intelligence have attempted to address this, existing models face significant limitations. General Language Models (LMs) often miss the nuances of niche climate-related texts, leading to high classification error rates. Foundational efforts such as ClimateBERT, pre-trained on over 2 million paragraphs of climate text, have improved domain-specific understanding, and other mixed-method models have achieved up to 86.34% accuracy in identifying linguistic greenwashing patterns. However, a critical gap remains: current systems often struggle to process unstructured PDF data, fail to effectively penalize "silence" or data omission, and lack the capability to link vague textual discourse with hard financial and environmental metrics.</w:t>
      </w:r>
      <w:r w:rsidDel="00000000" w:rsidR="00000000" w:rsidRPr="00000000">
        <w:rPr>
          <w:rtl w:val="0"/>
        </w:rPr>
      </w:r>
    </w:p>
    <w:p w:rsidR="00000000" w:rsidDel="00000000" w:rsidP="00000000" w:rsidRDefault="00000000" w:rsidRPr="00000000" w14:paraId="00000007">
      <w:pPr>
        <w:rPr/>
      </w:pPr>
      <w:r w:rsidDel="00000000" w:rsidR="00000000" w:rsidRPr="00000000">
        <w:rPr>
          <w:b w:val="0"/>
          <w:bCs w:val="0"/>
          <w:i w:val="0"/>
          <w:iCs w:val="0"/>
          <w:rtl w:val="0"/>
        </w:rPr>
        <w:t xml:space="preserve">To bridge this gap, this paper introduces "GreenBERT," an automated, Artificial Intelligence-powered system designed to detect greenwashing in corporate ESG reports. Leveraging the capabilities of Natural Language Processing (NLP) and a fine-tuned BERT (Bidirectional Encoder Representations from Transformers) model, GreenBERT provides a solution for auditing sustainability claims that can also scale globally. The technical core of the project utilizes a dual-stream processing architecture developed using Python, PyTorch, and Hugging Face Transformers.</w:t>
      </w:r>
      <w:r w:rsidDel="00000000" w:rsidR="00000000" w:rsidRPr="00000000">
        <w:rPr>
          <w:rtl w:val="0"/>
        </w:rPr>
      </w:r>
    </w:p>
    <w:p w:rsidR="00000000" w:rsidDel="00000000" w:rsidP="00000000" w:rsidRDefault="00000000" w:rsidRPr="00000000" w14:paraId="00000008">
      <w:pPr>
        <w:rPr/>
      </w:pPr>
      <w:r w:rsidDel="00000000" w:rsidR="00000000" w:rsidRPr="00000000">
        <w:rPr>
          <w:b w:val="0"/>
          <w:bCs w:val="0"/>
          <w:i w:val="0"/>
          <w:iCs w:val="0"/>
          <w:rtl w:val="0"/>
        </w:rPr>
        <w:t xml:space="preserve">GreenBERT’s dual-stream structure specifically addresses the discrepancies between rhetorical claims and numerical realities. The first stream tackles the challenge of unstructured data extraction from complex PDF formats, parsing textual narratives regarding sustainability goals. The second stream isolates hard quantitative data, extracting specific metrics such as Scope 1, Scope 2, and Scope 3 carbon emissions, water usage, and waste management figures. By synthesizing these streams, GreenBERT performs a cross-modal discrepancy analysis: it evaluates the specificity of textual "claims" (e.g., "We are aggressively reducing our footprint") against the statistical trajectory of the "actuals" (e.g., a measured 5% increase in annual emissions). By classifying these claims as statistically supported or contradictory, the model generates an explainable "Greenwashing Probability Score."</w:t>
      </w:r>
      <w:r w:rsidDel="00000000" w:rsidR="00000000" w:rsidRPr="00000000">
        <w:rPr>
          <w:rtl w:val="0"/>
        </w:rPr>
      </w:r>
    </w:p>
    <w:p w:rsidR="00000000" w:rsidDel="00000000" w:rsidP="00000000" w:rsidRDefault="00000000" w:rsidRPr="00000000" w14:paraId="00000009">
      <w:pPr>
        <w:rPr/>
      </w:pPr>
      <w:r w:rsidDel="00000000" w:rsidR="00000000" w:rsidRPr="00000000">
        <w:rPr>
          <w:b w:val="0"/>
          <w:bCs w:val="0"/>
          <w:i w:val="0"/>
          <w:iCs w:val="0"/>
          <w:rtl w:val="0"/>
        </w:rPr>
        <w:t xml:space="preserve">Ultimately, GreenBERT aims to restore trust in organizations and decrease the percentage of falsified information in ESG reports, directing capital toward companies genuinely contributing to a net-zero future. While initially aligned with regional frameworks such as Türkiye’s Green Deal Action Plan, the model’s architecture is designed for global application, directly supporting the "Twin Transition" (Green and Digital) objectives outlined in international initiatives such as Horizon Europe. By automating the detection of misleading information and cross-referencing text with quantitative data, GreenBERT demonstrates how Deep Learning can serve as a vital mechanism for global environmental governance.</w:t>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color w:val="000000"/>
          <w:rtl w:val="0"/>
        </w:rPr>
        <w:t xml:space="preserve">2. Related Work / Literature Review</w:t>
      </w:r>
      <w:r w:rsidDel="00000000" w:rsidR="00000000" w:rsidRPr="00000000">
        <w:rPr>
          <w:rtl w:val="0"/>
        </w:rPr>
      </w:r>
    </w:p>
    <w:p w:rsidR="00000000" w:rsidDel="00000000" w:rsidP="00000000" w:rsidRDefault="00000000" w:rsidRPr="00000000" w14:paraId="0000000B">
      <w:pPr>
        <w:rPr/>
      </w:pPr>
      <w:r w:rsidDel="00000000" w:rsidR="00000000" w:rsidRPr="00000000">
        <w:rPr>
          <w:b w:val="0"/>
          <w:bCs w:val="0"/>
          <w:i w:val="0"/>
          <w:iCs w:val="0"/>
          <w:rtl w:val="0"/>
        </w:rPr>
        <w:t xml:space="preserve">The detection of greenwashing through computational methods is a small but rapidly accelerating field at the intersection of Natural Language Processing (NLP), sustainable finance, and environmental science. Early attempts at auditing ESG disclosures relied heavily on keyword matching and basic sentiment analysis, which often failed to capture the sophisticated "impression management" strategies employed by modern corporations. Recent literature has shifted toward domain-specific transformer models and multi-modal frameworks that attempt to bridge the gap between qualitative narrative and quantitative reality. The following works represent the benchmarks, methods, and foundations upon which GreenBERT is built.</w:t>
      </w:r>
      <w:r w:rsidDel="00000000" w:rsidR="00000000" w:rsidRPr="00000000">
        <w:rPr>
          <w:rtl w:val="0"/>
        </w:rPr>
      </w:r>
    </w:p>
    <w:p w:rsidR="00000000" w:rsidDel="00000000" w:rsidP="00000000" w:rsidRDefault="00000000" w:rsidRPr="00000000" w14:paraId="0000000C">
      <w:pPr>
        <w:rPr/>
      </w:pPr>
      <w:r w:rsidDel="00000000" w:rsidR="00000000" w:rsidRPr="00000000">
        <w:rPr>
          <w:b w:val="0"/>
          <w:bCs w:val="0"/>
          <w:i w:val="0"/>
          <w:iCs w:val="0"/>
          <w:rtl w:val="0"/>
        </w:rPr>
        <w:t xml:space="preserve">The first reference, ClimateBERT, exemplifies the domain-specific foundations implemented in the model. The primary challenge in ESG analysis is the "niche" nature of climate-related vocabulary. Webersinke et al. (2021) addressed this by developing ClimateBERT, a model pre-trained on a specialized corpus of over 2 million paragraphs of climate-related news, research, and corporate disclosures. Their findings demonstrated that general-purpose Language Models suffer from high error rates (between 3.57% and 31%) when classifying climate risks because they lack exposure to industry-specific semantics. By proving that domain-specific pre-training improves performance on tasks such as fact-checking by nearly 50%, ClimateBERT provides the essential linguistic "backbone" for GreenBERT, emphasizing that deep understanding of environmental context is non-negotiable for accurate greenwashing detection.</w:t>
      </w:r>
      <w:r w:rsidDel="00000000" w:rsidR="00000000" w:rsidRPr="00000000">
        <w:rPr>
          <w:rtl w:val="0"/>
        </w:rPr>
      </w:r>
    </w:p>
    <w:p w:rsidR="00000000" w:rsidDel="00000000" w:rsidP="00000000" w:rsidRDefault="00000000" w:rsidRPr="00000000" w14:paraId="0000000D">
      <w:pPr>
        <w:rPr/>
      </w:pPr>
      <w:r w:rsidDel="00000000" w:rsidR="00000000" w:rsidRPr="00000000">
        <w:rPr>
          <w:b w:val="0"/>
          <w:bCs w:val="0"/>
          <w:i w:val="0"/>
          <w:iCs w:val="0"/>
          <w:rtl w:val="0"/>
        </w:rPr>
        <w:t xml:space="preserve">The second reference, Shankar &amp; Xu (2024), provides essential performance benchmarking and mixed-method modules. Focusing on the UK’s green finance sector, they utilized a combination of BERT and ClimateBERT to evaluate the credibility of sustainability claims. Their research is significant for its "mixed-methods" approach, which integrates textual narratives with traditional machine learning classifiers such as XGBoost. By training the model on historical performance data, they achieved an 86.34% accuracy rate in identifying linguistic patterns that historically correlate with environmental underperformance. This study serves as a critical benchmark for GreenBERT, validating the effectiveness of using linguistic "red flags" as predictive markers for corporate deception.</w:t>
      </w:r>
      <w:r w:rsidDel="00000000" w:rsidR="00000000" w:rsidRPr="00000000">
        <w:rPr>
          <w:rtl w:val="0"/>
        </w:rPr>
      </w:r>
    </w:p>
    <w:p w:rsidR="00000000" w:rsidDel="00000000" w:rsidP="00000000" w:rsidRDefault="00000000" w:rsidRPr="00000000" w14:paraId="0000000E">
      <w:pPr>
        <w:rPr/>
      </w:pPr>
      <w:r w:rsidDel="00000000" w:rsidR="00000000" w:rsidRPr="00000000">
        <w:rPr>
          <w:b w:val="0"/>
          <w:bCs w:val="0"/>
          <w:i w:val="0"/>
          <w:iCs w:val="0"/>
          <w:rtl w:val="0"/>
        </w:rPr>
        <w:t xml:space="preserve">The third reference addresses a recurring strategy in greenwashing: the use of "vagueness" to avoid accountability. Sneiderle &amp; Legenzova (2025) introduce a multi-tiered pipeline designed to distinguish between "numeric specificity" and "rhetorical vagueness" (e.g., the difference between "will achieve" and "strive to"). Beyond mere classification, this framework utilizes Explainable AI (XAI) to reveal the specific linguistic markers driving a credibility score. GreenBERT adopts this logic by incorporating a vagueness-versus-definitiveness identifier, ensuring that the model does not just produce a probability score but also identifies the specific "cheap talk" used to inflate a company’s image.</w:t>
      </w:r>
      <w:r w:rsidDel="00000000" w:rsidR="00000000" w:rsidRPr="00000000">
        <w:rPr>
          <w:rtl w:val="0"/>
        </w:rPr>
      </w:r>
    </w:p>
    <w:p w:rsidR="00000000" w:rsidDel="00000000" w:rsidP="00000000" w:rsidRDefault="00000000" w:rsidRPr="00000000" w14:paraId="0000000F">
      <w:pPr>
        <w:rPr/>
      </w:pPr>
      <w:r w:rsidDel="00000000" w:rsidR="00000000" w:rsidRPr="00000000">
        <w:rPr>
          <w:b w:val="0"/>
          <w:bCs w:val="0"/>
          <w:i w:val="0"/>
          <w:iCs w:val="0"/>
          <w:rtl w:val="0"/>
        </w:rPr>
        <w:t xml:space="preserve">The fourth reference tackles the most significant hurdle in this field: data scarcity, meaning the lack of labeled datasets that connect what a company says to what it actually does. Schimanski et al. (2023) addressed this by creating one of the largest specialized datasets in the field, analyzing 2,500 annual reports and generating a corpus of 13.8 million ESG-related words. Their work focuses on "cherry-picking," where companies highlight positive metrics while omitting negative ones. This research provides the methodological framework for GreenBERT’s cross-modal discrepancy analysis, allowing the model to link textual claims directly to financial and environmental "actuals."</w:t>
      </w:r>
      <w:r w:rsidDel="00000000" w:rsidR="00000000" w:rsidRPr="00000000">
        <w:rPr>
          <w:rtl w:val="0"/>
        </w:rPr>
      </w:r>
    </w:p>
    <w:p w:rsidR="00000000" w:rsidDel="00000000" w:rsidP="00000000" w:rsidRDefault="00000000" w:rsidRPr="00000000" w14:paraId="00000010">
      <w:pPr>
        <w:rPr/>
      </w:pPr>
      <w:r w:rsidDel="00000000" w:rsidR="00000000" w:rsidRPr="00000000">
        <w:rPr>
          <w:b w:val="0"/>
          <w:bCs w:val="0"/>
          <w:i w:val="0"/>
          <w:iCs w:val="0"/>
          <w:rtl w:val="0"/>
        </w:rPr>
        <w:t xml:space="preserve">The fifth reference, focusing on recent studies of the Indian market (2025), highlights that greenwashing is often a "crime of silence" rather than an outright lie. Focusing on the Business Responsibility and Sustainability Reporting (BRSR) framework, this research demonstrated that the absence of mandatory data (such as water usage or waste management) in a report that otherwise claims to be "green" is a definitive indicator of greenwashing. The study also addressed the technical difficulty of parsing unstructured PDF data. GreenBERT builds on this by treating data omission as a high-weight feature in its probability score, recognizing that what a company chooses not to disclose is as important as what it highlights.</w:t>
      </w:r>
      <w:r w:rsidDel="00000000" w:rsidR="00000000" w:rsidRPr="00000000">
        <w:rPr>
          <w:rtl w:val="0"/>
        </w:rPr>
      </w:r>
    </w:p>
    <w:p w:rsidR="00000000" w:rsidDel="00000000" w:rsidP="00000000" w:rsidRDefault="00000000" w:rsidRPr="00000000" w14:paraId="00000011">
      <w:pPr>
        <w:rPr/>
      </w:pPr>
      <w:r w:rsidDel="00000000" w:rsidR="00000000" w:rsidRPr="00000000">
        <w:rPr>
          <w:b w:val="0"/>
          <w:bCs w:val="0"/>
          <w:i w:val="0"/>
          <w:iCs w:val="0"/>
          <w:rtl w:val="0"/>
        </w:rPr>
        <w:t xml:space="preserve">The sixth reference shows that a prerequisite for greenwashing detection is isolating which statements actually constitute environmental claims. Stammbach et al. (2022) introduced this task by releasing a dataset of 2,647 expert-annotated sentences from corporate reports and earnings calls, available on HuggingFace. Their fine-tuned ClimateBERT classifier, applied to earnings calls from 2012–2020, revealed that environmental claims surged after the Paris Agreement. This dataset serves as the entry point for GreenBERT’s first stream, filtering environmental claims from boilerplate before analysis begins.</w:t>
      </w:r>
      <w:r w:rsidDel="00000000" w:rsidR="00000000" w:rsidRPr="00000000">
        <w:rPr>
          <w:rtl w:val="0"/>
        </w:rPr>
      </w:r>
    </w:p>
    <w:p w:rsidR="00000000" w:rsidDel="00000000" w:rsidP="00000000" w:rsidRDefault="00000000" w:rsidRPr="00000000" w14:paraId="00000012">
      <w:pPr>
        <w:rPr/>
      </w:pPr>
      <w:r w:rsidDel="00000000" w:rsidR="00000000" w:rsidRPr="00000000">
        <w:rPr>
          <w:b w:val="0"/>
          <w:bCs w:val="0"/>
          <w:i w:val="0"/>
          <w:iCs w:val="0"/>
          <w:rtl w:val="0"/>
        </w:rPr>
        <w:t xml:space="preserve">Ong et al. (2025), published at ACL 2025, introduced A3CG, a dataset of 1,679 sustainability reports in which each statement is labeled with an extracted sustainability aspect and an action classified as "implemented," "planning," or "indeterminate." This distinction is critical: vague, indeterminate language represents the most common form of greenwashing, yet most NLP systems treat all claims equally. Their experiments showed that even GPT-4o struggles with unseen ESG categories. GreenBERT adopts this classification framework, treating "indeterminate" claims as high-risk indicators in its probability score.</w:t>
      </w:r>
      <w:r w:rsidDel="00000000" w:rsidR="00000000" w:rsidRPr="00000000">
        <w:rPr>
          <w:rtl w:val="0"/>
        </w:rPr>
      </w:r>
    </w:p>
    <w:p w:rsidR="00000000" w:rsidDel="00000000" w:rsidP="00000000" w:rsidRDefault="00000000" w:rsidRPr="00000000" w14:paraId="00000013">
      <w:pPr>
        <w:rPr/>
      </w:pPr>
      <w:r w:rsidDel="00000000" w:rsidR="00000000" w:rsidRPr="00000000">
        <w:rPr>
          <w:b w:val="0"/>
          <w:bCs w:val="0"/>
          <w:i w:val="0"/>
          <w:iCs w:val="0"/>
          <w:rtl w:val="0"/>
        </w:rPr>
        <w:t xml:space="preserve">Bingler et al. (2024), published in the Journal of Banking &amp; Finance, developed ClimateBERT-CTI, an algorithm that combines specificity and commitment classifiers into a "cheap talk index." Applied to MSCI World firms, they found that voluntary disclosures are associated with more cheap talk, and that higher cheap-talk scores correlate with increased emissions growth. This directly validates GreenBERT’s dual-stream logic: comparing textual vagueness against quantitative performance.</w:t>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i w:val="0"/>
          <w:iCs w:val="0"/>
          <w:rtl w:val="0"/>
        </w:rPr>
        <w:t xml:space="preserve">Related Work Comparative Analysis Chart</w:t>
      </w:r>
      <w:r w:rsidDel="00000000" w:rsidR="00000000" w:rsidRPr="00000000">
        <w:rPr>
          <w:rtl w:val="0"/>
        </w:rPr>
      </w:r>
    </w:p>
    <w:tbl>
      <w:tblPr>
        <w:tblStyle w:val="Table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15">
            <w:pPr>
              <w:rPr/>
            </w:pPr>
            <w:r w:rsidDel="00000000" w:rsidR="00000000" w:rsidRPr="00000000">
              <w:rPr>
                <w:rFonts w:ascii="Times New Roman" w:cs="Times New Roman" w:eastAsia="Times New Roman" w:hAnsi="Times New Roman"/>
                <w:b w:val="1"/>
                <w:bCs w:val="1"/>
                <w:sz w:val="16"/>
                <w:szCs w:val="16"/>
                <w:rtl w:val="0"/>
              </w:rPr>
              <w:t xml:space="preserve">Reference / model</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Fonts w:ascii="Times New Roman" w:cs="Times New Roman" w:eastAsia="Times New Roman" w:hAnsi="Times New Roman"/>
                <w:b w:val="1"/>
                <w:bCs w:val="1"/>
                <w:sz w:val="16"/>
                <w:szCs w:val="16"/>
                <w:rtl w:val="0"/>
              </w:rPr>
              <w:t xml:space="preserve">Dataset</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Fonts w:ascii="Times New Roman" w:cs="Times New Roman" w:eastAsia="Times New Roman" w:hAnsi="Times New Roman"/>
                <w:b w:val="1"/>
                <w:bCs w:val="1"/>
                <w:sz w:val="16"/>
                <w:szCs w:val="16"/>
                <w:rtl w:val="0"/>
              </w:rPr>
              <w:t xml:space="preserve">ML model / algorithm</w:t>
            </w:r>
            <w:r w:rsidDel="00000000" w:rsidR="00000000" w:rsidRPr="00000000">
              <w:rPr>
                <w:rtl w:val="0"/>
              </w:rPr>
            </w:r>
          </w:p>
        </w:tc>
        <w:tc>
          <w:tcPr/>
          <w:p w:rsidR="00000000" w:rsidDel="00000000" w:rsidP="00000000" w:rsidRDefault="00000000" w:rsidRPr="00000000" w14:paraId="00000018">
            <w:pPr>
              <w:rPr/>
            </w:pPr>
            <w:r w:rsidDel="00000000" w:rsidR="00000000" w:rsidRPr="00000000">
              <w:rPr>
                <w:rFonts w:ascii="Times New Roman" w:cs="Times New Roman" w:eastAsia="Times New Roman" w:hAnsi="Times New Roman"/>
                <w:b w:val="1"/>
                <w:bCs w:val="1"/>
                <w:sz w:val="16"/>
                <w:szCs w:val="16"/>
                <w:rtl w:val="0"/>
              </w:rPr>
              <w:t xml:space="preserve">Key methodology</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Fonts w:ascii="Times New Roman" w:cs="Times New Roman" w:eastAsia="Times New Roman" w:hAnsi="Times New Roman"/>
                <w:b w:val="1"/>
                <w:bCs w:val="1"/>
                <w:sz w:val="16"/>
                <w:szCs w:val="16"/>
                <w:rtl w:val="0"/>
              </w:rPr>
              <w:t xml:space="preserve">Major strengths &amp; findings</w:t>
            </w:r>
            <w:r w:rsidDel="00000000" w:rsidR="00000000" w:rsidRPr="00000000">
              <w:rPr>
                <w:rtl w:val="0"/>
              </w:rPr>
            </w:r>
          </w:p>
        </w:tc>
      </w:tr>
      <w:tr>
        <w:trPr>
          <w:cantSplit w:val="0"/>
          <w:tblHeader w:val="0"/>
        </w:trPr>
        <w:tc>
          <w:tcPr/>
          <w:p w:rsidR="00000000" w:rsidDel="00000000" w:rsidP="00000000" w:rsidRDefault="00000000" w:rsidRPr="00000000" w14:paraId="0000001A">
            <w:pPr>
              <w:rPr/>
            </w:pPr>
            <w:r w:rsidDel="00000000" w:rsidR="00000000" w:rsidRPr="00000000">
              <w:rPr>
                <w:rFonts w:ascii="Times New Roman" w:cs="Times New Roman" w:eastAsia="Times New Roman" w:hAnsi="Times New Roman"/>
                <w:sz w:val="16"/>
                <w:szCs w:val="16"/>
                <w:rtl w:val="0"/>
              </w:rPr>
              <w:t xml:space="preserve">1. ClimateBERT (Webersinke et al., 2021)</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Fonts w:ascii="Times New Roman" w:cs="Times New Roman" w:eastAsia="Times New Roman" w:hAnsi="Times New Roman"/>
                <w:sz w:val="16"/>
                <w:szCs w:val="16"/>
                <w:rtl w:val="0"/>
              </w:rPr>
              <w:t xml:space="preserve">2M+ climate paragraphs (corporate reports, news, research)</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Fonts w:ascii="Times New Roman" w:cs="Times New Roman" w:eastAsia="Times New Roman" w:hAnsi="Times New Roman"/>
                <w:sz w:val="16"/>
                <w:szCs w:val="16"/>
                <w:rtl w:val="0"/>
              </w:rPr>
              <w:t xml:space="preserve">DistilRoBERTa with domain-adaptive pre-training</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Fonts w:ascii="Times New Roman" w:cs="Times New Roman" w:eastAsia="Times New Roman" w:hAnsi="Times New Roman"/>
                <w:sz w:val="16"/>
                <w:szCs w:val="16"/>
                <w:rtl w:val="0"/>
              </w:rPr>
              <w:t xml:space="preserve">Pre-trained Transformer on 2M+ climate paragraphs</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Fonts w:ascii="Times New Roman" w:cs="Times New Roman" w:eastAsia="Times New Roman" w:hAnsi="Times New Roman"/>
                <w:sz w:val="16"/>
                <w:szCs w:val="16"/>
                <w:rtl w:val="0"/>
              </w:rPr>
              <w:t xml:space="preserve">Significantly reduces classification error on niche environmental texts.</w:t>
            </w:r>
            <w:r w:rsidDel="00000000" w:rsidR="00000000" w:rsidRPr="00000000">
              <w:rPr>
                <w:rtl w:val="0"/>
              </w:rPr>
            </w:r>
          </w:p>
        </w:tc>
      </w:tr>
      <w:tr>
        <w:trPr>
          <w:cantSplit w:val="0"/>
          <w:tblHeader w:val="0"/>
        </w:trPr>
        <w:tc>
          <w:tcPr/>
          <w:p w:rsidR="00000000" w:rsidDel="00000000" w:rsidP="00000000" w:rsidRDefault="00000000" w:rsidRPr="00000000" w14:paraId="0000001F">
            <w:pPr>
              <w:rPr/>
            </w:pPr>
            <w:r w:rsidDel="00000000" w:rsidR="00000000" w:rsidRPr="00000000">
              <w:rPr>
                <w:rFonts w:ascii="Times New Roman" w:cs="Times New Roman" w:eastAsia="Times New Roman" w:hAnsi="Times New Roman"/>
                <w:sz w:val="16"/>
                <w:szCs w:val="16"/>
                <w:rtl w:val="0"/>
              </w:rPr>
              <w:t xml:space="preserve">2. Shankar &amp; Xu (2024)</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Fonts w:ascii="Times New Roman" w:cs="Times New Roman" w:eastAsia="Times New Roman" w:hAnsi="Times New Roman"/>
                <w:sz w:val="16"/>
                <w:szCs w:val="16"/>
                <w:rtl w:val="0"/>
              </w:rPr>
              <w:t xml:space="preserve">487 UK firms’ sustainability reports (2018–2024), expert-labeled</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Fonts w:ascii="Times New Roman" w:cs="Times New Roman" w:eastAsia="Times New Roman" w:hAnsi="Times New Roman"/>
                <w:sz w:val="16"/>
                <w:szCs w:val="16"/>
                <w:rtl w:val="0"/>
              </w:rPr>
              <w:t xml:space="preserve">BERT + ClimateBERT + XGBoost</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Fonts w:ascii="Times New Roman" w:cs="Times New Roman" w:eastAsia="Times New Roman" w:hAnsi="Times New Roman"/>
                <w:sz w:val="16"/>
                <w:szCs w:val="16"/>
                <w:rtl w:val="0"/>
              </w:rPr>
              <w:t xml:space="preserve">Mixed-methods (BERT + XGBoost classifier)</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Fonts w:ascii="Times New Roman" w:cs="Times New Roman" w:eastAsia="Times New Roman" w:hAnsi="Times New Roman"/>
                <w:sz w:val="16"/>
                <w:szCs w:val="16"/>
                <w:rtl w:val="0"/>
              </w:rPr>
              <w:t xml:space="preserve">Establishes a high-accuracy (86.34%) benchmark for historical risk prediction.</w:t>
            </w:r>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rFonts w:ascii="Times New Roman" w:cs="Times New Roman" w:eastAsia="Times New Roman" w:hAnsi="Times New Roman"/>
                <w:sz w:val="16"/>
                <w:szCs w:val="16"/>
                <w:rtl w:val="0"/>
              </w:rPr>
              <w:t xml:space="preserve">3. Impression Mgmt. (Sneiderle &amp; Legenzova, 2025)</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Fonts w:ascii="Times New Roman" w:cs="Times New Roman" w:eastAsia="Times New Roman" w:hAnsi="Times New Roman"/>
                <w:sz w:val="16"/>
                <w:szCs w:val="16"/>
                <w:rtl w:val="0"/>
              </w:rPr>
              <w:t xml:space="preserve">ESG reports scored with vagueness/definitiveness lexicons (proprietary)</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Fonts w:ascii="Times New Roman" w:cs="Times New Roman" w:eastAsia="Times New Roman" w:hAnsi="Times New Roman"/>
                <w:sz w:val="16"/>
                <w:szCs w:val="16"/>
                <w:rtl w:val="0"/>
              </w:rPr>
              <w:t xml:space="preserve">Explainable AI (XAI) with rule-based pipeline</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Fonts w:ascii="Times New Roman" w:cs="Times New Roman" w:eastAsia="Times New Roman" w:hAnsi="Times New Roman"/>
                <w:sz w:val="16"/>
                <w:szCs w:val="16"/>
                <w:rtl w:val="0"/>
              </w:rPr>
              <w:t xml:space="preserve">Explainable AI (XAI) using vagueness lexicons</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Fonts w:ascii="Times New Roman" w:cs="Times New Roman" w:eastAsia="Times New Roman" w:hAnsi="Times New Roman"/>
                <w:sz w:val="16"/>
                <w:szCs w:val="16"/>
                <w:rtl w:val="0"/>
              </w:rPr>
              <w:t xml:space="preserve">Effectively isolates and highlights rhetorical "cheap talk."</w:t>
            </w:r>
            <w:r w:rsidDel="00000000" w:rsidR="00000000" w:rsidRPr="00000000">
              <w:rPr>
                <w:rtl w:val="0"/>
              </w:rPr>
            </w:r>
          </w:p>
        </w:tc>
      </w:tr>
      <w:tr>
        <w:trPr>
          <w:cantSplit w:val="0"/>
          <w:tblHeader w:val="0"/>
        </w:trPr>
        <w:tc>
          <w:tcPr/>
          <w:p w:rsidR="00000000" w:rsidDel="00000000" w:rsidP="00000000" w:rsidRDefault="00000000" w:rsidRPr="00000000" w14:paraId="00000029">
            <w:pPr>
              <w:rPr/>
            </w:pPr>
            <w:r w:rsidDel="00000000" w:rsidR="00000000" w:rsidRPr="00000000">
              <w:rPr>
                <w:rFonts w:ascii="Times New Roman" w:cs="Times New Roman" w:eastAsia="Times New Roman" w:hAnsi="Times New Roman"/>
                <w:sz w:val="16"/>
                <w:szCs w:val="16"/>
                <w:rtl w:val="0"/>
              </w:rPr>
              <w:t xml:space="preserve">4. Schimanski et al. (2023)</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Fonts w:ascii="Times New Roman" w:cs="Times New Roman" w:eastAsia="Times New Roman" w:hAnsi="Times New Roman"/>
                <w:sz w:val="16"/>
                <w:szCs w:val="16"/>
                <w:rtl w:val="0"/>
              </w:rPr>
              <w:t xml:space="preserve">2,500 annual reports; 13.8M ESG-word corpus</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Fonts w:ascii="Times New Roman" w:cs="Times New Roman" w:eastAsia="Times New Roman" w:hAnsi="Times New Roman"/>
                <w:sz w:val="16"/>
                <w:szCs w:val="16"/>
                <w:rtl w:val="0"/>
              </w:rPr>
              <w:t xml:space="preserve">ClimateBERT fine-tuned for ESG topic detection</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Fonts w:ascii="Times New Roman" w:cs="Times New Roman" w:eastAsia="Times New Roman" w:hAnsi="Times New Roman"/>
                <w:sz w:val="16"/>
                <w:szCs w:val="16"/>
                <w:rtl w:val="0"/>
              </w:rPr>
              <w:t xml:space="preserve">Large-scale labeling (13.8M word corpus)</w:t>
            </w:r>
            <w:r w:rsidDel="00000000" w:rsidR="00000000" w:rsidRPr="00000000">
              <w:rPr>
                <w:rtl w:val="0"/>
              </w:rPr>
            </w:r>
          </w:p>
        </w:tc>
        <w:tc>
          <w:tcPr/>
          <w:p w:rsidR="00000000" w:rsidDel="00000000" w:rsidP="00000000" w:rsidRDefault="00000000" w:rsidRPr="00000000" w14:paraId="0000002D">
            <w:pPr>
              <w:rPr/>
            </w:pPr>
            <w:r w:rsidDel="00000000" w:rsidR="00000000" w:rsidRPr="00000000">
              <w:rPr>
                <w:rFonts w:ascii="Times New Roman" w:cs="Times New Roman" w:eastAsia="Times New Roman" w:hAnsi="Times New Roman"/>
                <w:sz w:val="16"/>
                <w:szCs w:val="16"/>
                <w:rtl w:val="0"/>
              </w:rPr>
              <w:t xml:space="preserve">Maps out "cherry-picking" strategies in annual sustainability reports.</w:t>
            </w: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rFonts w:ascii="Times New Roman" w:cs="Times New Roman" w:eastAsia="Times New Roman" w:hAnsi="Times New Roman"/>
                <w:sz w:val="16"/>
                <w:szCs w:val="16"/>
                <w:rtl w:val="0"/>
              </w:rPr>
              <w:t xml:space="preserve">5. Indian ESG Study (2025)</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Fonts w:ascii="Times New Roman" w:cs="Times New Roman" w:eastAsia="Times New Roman" w:hAnsi="Times New Roman"/>
                <w:sz w:val="16"/>
                <w:szCs w:val="16"/>
                <w:rtl w:val="0"/>
              </w:rPr>
              <w:t xml:space="preserve">Indian BRSR sustainability reports, sentence-level expert labels</w:t>
            </w:r>
            <w:r w:rsidDel="00000000" w:rsidR="00000000" w:rsidRPr="00000000">
              <w:rPr>
                <w:rtl w:val="0"/>
              </w:rPr>
            </w:r>
          </w:p>
        </w:tc>
        <w:tc>
          <w:tcPr/>
          <w:p w:rsidR="00000000" w:rsidDel="00000000" w:rsidP="00000000" w:rsidRDefault="00000000" w:rsidRPr="00000000" w14:paraId="00000030">
            <w:pPr>
              <w:rPr/>
            </w:pPr>
            <w:r w:rsidDel="00000000" w:rsidR="00000000" w:rsidRPr="00000000">
              <w:rPr>
                <w:rFonts w:ascii="Times New Roman" w:cs="Times New Roman" w:eastAsia="Times New Roman" w:hAnsi="Times New Roman"/>
                <w:sz w:val="16"/>
                <w:szCs w:val="16"/>
                <w:rtl w:val="0"/>
              </w:rPr>
              <w:t xml:space="preserve">BERT-based sentence classifier</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sz w:val="16"/>
                <w:szCs w:val="16"/>
                <w:rtl w:val="0"/>
              </w:rPr>
              <w:t xml:space="preserve">NLP tracking of mandatory framework (BRSR) metrics</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sz w:val="16"/>
                <w:szCs w:val="16"/>
                <w:rtl w:val="0"/>
              </w:rPr>
              <w:t xml:space="preserve">Proves that "silence" or data omission is a primary greenwashing indicator.</w:t>
            </w: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sz w:val="16"/>
                <w:szCs w:val="16"/>
                <w:rtl w:val="0"/>
              </w:rPr>
              <w:t xml:space="preserve">6. Stammbach et al. (2022)</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sz w:val="16"/>
                <w:szCs w:val="16"/>
                <w:rtl w:val="0"/>
              </w:rPr>
              <w:t xml:space="preserve">2,647 expert-annotated sentences (HuggingFace: climatebert/environmental_claims)</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sz w:val="16"/>
                <w:szCs w:val="16"/>
                <w:rtl w:val="0"/>
              </w:rPr>
              <w:t xml:space="preserve">ClimateBERT fine-tuned for binary claim detection</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sz w:val="16"/>
                <w:szCs w:val="16"/>
                <w:rtl w:val="0"/>
              </w:rPr>
              <w:t xml:space="preserve">First formulation of environmental claim detection as an NLP task; baselines on earnings calls 2012–2020</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sz w:val="16"/>
                <w:szCs w:val="16"/>
                <w:rtl w:val="0"/>
              </w:rPr>
              <w:t xml:space="preserve">Establishes the prerequisite filtering step; shows claims surged after the Paris Agreement.</w:t>
            </w: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sz w:val="16"/>
                <w:szCs w:val="16"/>
                <w:rtl w:val="0"/>
              </w:rPr>
              <w:t xml:space="preserve">7. Ong et al. (A3CG) (2025, ACL)</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sz w:val="16"/>
                <w:szCs w:val="16"/>
                <w:rtl w:val="0"/>
              </w:rPr>
              <w:t xml:space="preserve">1,679 SGX sustainability reports, 2017–2022, aspect–action pairs (GitHub: SenticNet)</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sz w:val="16"/>
                <w:szCs w:val="16"/>
                <w:rtl w:val="0"/>
              </w:rPr>
              <w:t xml:space="preserve">T5 + contrastive learning; benchmarked vs GPT-4o, Claude 3.5</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sz w:val="16"/>
                <w:szCs w:val="16"/>
                <w:rtl w:val="0"/>
              </w:rPr>
              <w:t xml:space="preserve">Aspect–action analysis: "implemented" / "planning" / "indeterminate"; cross-category generalization</w:t>
            </w:r>
            <w:r w:rsidDel="00000000" w:rsidR="00000000" w:rsidRPr="00000000">
              <w:rPr>
                <w:rtl w:val="0"/>
              </w:rPr>
            </w:r>
          </w:p>
        </w:tc>
        <w:tc>
          <w:tcPr/>
          <w:p w:rsidR="00000000" w:rsidDel="00000000" w:rsidP="00000000" w:rsidRDefault="00000000" w:rsidRPr="00000000" w14:paraId="0000003C">
            <w:pPr>
              <w:rPr/>
            </w:pPr>
            <w:r w:rsidDel="00000000" w:rsidR="00000000" w:rsidRPr="00000000">
              <w:rPr>
                <w:rFonts w:ascii="Times New Roman" w:cs="Times New Roman" w:eastAsia="Times New Roman" w:hAnsi="Times New Roman"/>
                <w:sz w:val="16"/>
                <w:szCs w:val="16"/>
                <w:rtl w:val="0"/>
              </w:rPr>
              <w:t xml:space="preserve">First greenwashing-robustness dataset; LLMs fail on unseen ESG categories; "indeterminate" as key deception signal.</w:t>
            </w:r>
            <w:r w:rsidDel="00000000" w:rsidR="00000000" w:rsidRPr="00000000">
              <w:rPr>
                <w:rtl w:val="0"/>
              </w:rPr>
            </w:r>
          </w:p>
        </w:tc>
      </w:tr>
      <w:tr>
        <w:trPr>
          <w:cantSplit w:val="0"/>
          <w:tblHeader w:val="0"/>
        </w:trPr>
        <w:tc>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sz w:val="16"/>
                <w:szCs w:val="16"/>
                <w:rtl w:val="0"/>
              </w:rPr>
              <w:t xml:space="preserve">8. Bingler et al. (2024, J. Banking &amp; Finance)</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Fonts w:ascii="Times New Roman" w:cs="Times New Roman" w:eastAsia="Times New Roman" w:hAnsi="Times New Roman"/>
                <w:sz w:val="16"/>
                <w:szCs w:val="16"/>
                <w:rtl w:val="0"/>
              </w:rPr>
              <w:t xml:space="preserve">MSCI World annual reports; HuggingFace datasets (climate_specificity, climate_commitments_actions)</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Fonts w:ascii="Times New Roman" w:cs="Times New Roman" w:eastAsia="Times New Roman" w:hAnsi="Times New Roman"/>
                <w:sz w:val="16"/>
                <w:szCs w:val="16"/>
                <w:rtl w:val="0"/>
              </w:rPr>
              <w:t xml:space="preserve">ClimateBERT-CTI (specificity + commitment classifiers)</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Fonts w:ascii="Times New Roman" w:cs="Times New Roman" w:eastAsia="Times New Roman" w:hAnsi="Times New Roman"/>
                <w:sz w:val="16"/>
                <w:szCs w:val="16"/>
                <w:rtl w:val="0"/>
              </w:rPr>
              <w:t xml:space="preserve">Dual-classifier pipeline producing a composite "cheap talk index"</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sz w:val="16"/>
                <w:szCs w:val="16"/>
                <w:rtl w:val="0"/>
              </w:rPr>
              <w:t xml:space="preserve">Cheap talk correlates with higher emissions growth; linguistic vagueness predicts corporate behavior.</w:t>
            </w:r>
            <w:r w:rsidDel="00000000" w:rsidR="00000000" w:rsidRPr="00000000">
              <w:rPr>
                <w:rtl w:val="0"/>
              </w:rPr>
            </w:r>
          </w:p>
        </w:tc>
      </w:tr>
    </w:tbl>
    <w:p w:rsidR="00000000" w:rsidDel="00000000" w:rsidP="00000000" w:rsidRDefault="00000000" w:rsidRPr="00000000" w14:paraId="00000042">
      <w:pPr>
        <w:pStyle w:val="Heading1"/>
        <w:rPr/>
      </w:pPr>
      <w:r w:rsidDel="00000000" w:rsidR="00000000" w:rsidRPr="00000000">
        <w:rPr>
          <w:color w:val="000000"/>
          <w:rtl w:val="0"/>
        </w:rPr>
        <w:t xml:space="preserve">3. Methodology</w:t>
      </w:r>
      <w:r w:rsidDel="00000000" w:rsidR="00000000" w:rsidRPr="00000000">
        <w:rPr>
          <w:rtl w:val="0"/>
        </w:rPr>
      </w:r>
    </w:p>
    <w:p w:rsidR="00000000" w:rsidDel="00000000" w:rsidP="00000000" w:rsidRDefault="00000000" w:rsidRPr="00000000" w14:paraId="00000043">
      <w:pPr>
        <w:rPr/>
      </w:pPr>
      <w:r w:rsidDel="00000000" w:rsidR="00000000" w:rsidRPr="00000000">
        <w:rPr>
          <w:b w:val="0"/>
          <w:bCs w:val="0"/>
          <w:i w:val="0"/>
          <w:iCs w:val="0"/>
          <w:rtl w:val="0"/>
        </w:rPr>
        <w:t xml:space="preserve">The GreenBERT framework was developed through an iterative research methodology in which each stage informed and refined the next. Instead of immediately employing transformer-based models, the study first focused on understanding the structure of ESG reports, defining what constitutes a genuine ESG claim, and constructing a reliable human-annotated benchmark. Based on these observations, a transparent rule-based claim extraction engine was implemented and progressively refined through manual validation and error analysis. This staged development process establishes a robust and explainable baseline before introducing more advanced transformer-based models. Consequently, the overall methodology is organized into a sequence of work packages (WPs), where the outputs of each stage serve as inputs to the following stage.</w:t>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color w:val="000000"/>
          <w:rtl w:val="0"/>
        </w:rPr>
        <w:t xml:space="preserve">WP1 – ESG Report Collection and Preliminary Analysis</w:t>
      </w:r>
      <w:r w:rsidDel="00000000" w:rsidR="00000000" w:rsidRPr="00000000">
        <w:rPr>
          <w:rtl w:val="0"/>
        </w:rPr>
      </w:r>
    </w:p>
    <w:p w:rsidR="00000000" w:rsidDel="00000000" w:rsidP="00000000" w:rsidRDefault="00000000" w:rsidRPr="00000000" w14:paraId="00000045">
      <w:pPr>
        <w:pStyle w:val="Heading3"/>
        <w:rPr>
          <w:b w:val="0"/>
          <w:bCs w:val="0"/>
          <w:i w:val="0"/>
          <w:iCs w:val="0"/>
        </w:rPr>
      </w:pPr>
      <w:r w:rsidDel="00000000" w:rsidR="00000000" w:rsidRPr="00000000">
        <w:rPr>
          <w:color w:val="000000"/>
          <w:rtl w:val="0"/>
        </w:rPr>
        <w:t xml:space="preserve">Objective: </w:t>
      </w:r>
      <w:r w:rsidDel="00000000" w:rsidR="00000000" w:rsidRPr="00000000">
        <w:rPr>
          <w:b w:val="0"/>
          <w:bCs w:val="0"/>
          <w:i w:val="0"/>
          <w:iCs w:val="0"/>
          <w:rtl w:val="0"/>
        </w:rPr>
        <w:t xml:space="preserve">To establish a representative ESG report repository and perform an initial qualitative analysis of corporate sustainability disclosures.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b w:val="0"/>
          <w:bCs w:val="0"/>
          <w:i w:val="0"/>
          <w:iCs w:val="0"/>
          <w:rtl w:val="0"/>
        </w:rPr>
        <w:t xml:space="preserve">A corpus of six publicly available ESG and sustainability reports was assembled, deliberately spanning different industrial sectors, geographies, reporting standards, and public sustainability reputations: Shell (Oman, 2024), Microsoft (2025), Unilever (2025), Keurig Dr Pepper (2024), IKEA (FY24), and BP (2025). Three of these companies are frequently cited as sustainability leaders, while the other three have faced criticism regarding environmental disclosures; this contrast was intentional, so that the corpus would exhibit a wide range of reporting styles and potential greenwashing patterns. The reports also differ structurally, from a regulatory ESRS-aligned sustainability statement (Unilever) to narrative-style impact reports (Keurig Dr Pepper), which later proved to be an important variable in extraction performance.</w:t>
      </w:r>
      <w:r w:rsidDel="00000000" w:rsidR="00000000" w:rsidRPr="00000000">
        <w:rPr>
          <w:rtl w:val="0"/>
        </w:rPr>
      </w:r>
    </w:p>
    <w:p w:rsidR="00000000" w:rsidDel="00000000" w:rsidP="00000000" w:rsidRDefault="00000000" w:rsidRPr="00000000" w14:paraId="00000048">
      <w:pPr>
        <w:rPr/>
      </w:pPr>
      <w:r w:rsidDel="00000000" w:rsidR="00000000" w:rsidRPr="00000000">
        <w:rPr>
          <w:b w:val="0"/>
          <w:bCs w:val="0"/>
          <w:i w:val="0"/>
          <w:iCs w:val="0"/>
          <w:rtl w:val="0"/>
        </w:rPr>
        <w:t xml:space="preserve">Each report was manually reviewed against a consistent set of qualitative criteria: the recurring ESG terminology used; the report’s strongest claim (statements supported by quantified, verifiable data); its most suspicious claim (broad commitments presented without measurable targets); the presence of concrete quantitative environmental indicators (emissions, energy, water, waste, time-bound targets); and any contradictions between the narrative and the reported figures. The findings were recorded in a structured ESG Report Master Table, which became the project’s central working dataset. This preliminary analysis produced the qualitative risk assessment summarized in Table 1 and served as the foundation for identifying the linguistic, numerical, and omission-based features later incorporated into the framework.</w:t>
      </w:r>
      <w:r w:rsidDel="00000000" w:rsidR="00000000" w:rsidRPr="00000000">
        <w:rPr>
          <w:rtl w:val="0"/>
        </w:rPr>
      </w:r>
    </w:p>
    <w:p w:rsidR="00000000" w:rsidDel="00000000" w:rsidP="00000000" w:rsidRDefault="00000000" w:rsidRPr="00000000" w14:paraId="00000049">
      <w:pPr>
        <w:rPr/>
      </w:pPr>
      <w:r w:rsidDel="00000000" w:rsidR="00000000" w:rsidRPr="00000000">
        <w:rPr>
          <w:b w:val="0"/>
          <w:bCs w:val="0"/>
          <w:i w:val="1"/>
          <w:iCs w:val="1"/>
          <w:rtl w:val="0"/>
        </w:rPr>
        <w:t xml:space="preserve">Table 1. Preliminary qualitative assessment of the six ESG and sustainability reports.</w:t>
      </w:r>
      <w:r w:rsidDel="00000000" w:rsidR="00000000" w:rsidRPr="00000000">
        <w:rPr>
          <w:rtl w:val="0"/>
        </w:rPr>
      </w:r>
    </w:p>
    <w:tbl>
      <w:tblPr>
        <w:tblStyle w:val="Table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04A">
            <w:pPr>
              <w:rPr/>
            </w:pPr>
            <w:r w:rsidDel="00000000" w:rsidR="00000000" w:rsidRPr="00000000">
              <w:rPr>
                <w:rFonts w:ascii="Times New Roman" w:cs="Times New Roman" w:eastAsia="Times New Roman" w:hAnsi="Times New Roman"/>
                <w:b w:val="1"/>
                <w:bCs w:val="1"/>
                <w:sz w:val="16"/>
                <w:szCs w:val="16"/>
                <w:rtl w:val="0"/>
              </w:rPr>
              <w:t xml:space="preserve">Company</w:t>
            </w:r>
            <w:r w:rsidDel="00000000" w:rsidR="00000000" w:rsidRPr="00000000">
              <w:rPr>
                <w:rtl w:val="0"/>
              </w:rPr>
            </w:r>
          </w:p>
        </w:tc>
        <w:tc>
          <w:tcPr/>
          <w:p w:rsidR="00000000" w:rsidDel="00000000" w:rsidP="00000000" w:rsidRDefault="00000000" w:rsidRPr="00000000" w14:paraId="0000004B">
            <w:pPr>
              <w:rPr/>
            </w:pPr>
            <w:r w:rsidDel="00000000" w:rsidR="00000000" w:rsidRPr="00000000">
              <w:rPr>
                <w:rFonts w:ascii="Times New Roman" w:cs="Times New Roman" w:eastAsia="Times New Roman" w:hAnsi="Times New Roman"/>
                <w:b w:val="1"/>
                <w:bCs w:val="1"/>
                <w:sz w:val="16"/>
                <w:szCs w:val="16"/>
                <w:rtl w:val="0"/>
              </w:rPr>
              <w:t xml:space="preserve">Report type</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Fonts w:ascii="Times New Roman" w:cs="Times New Roman" w:eastAsia="Times New Roman" w:hAnsi="Times New Roman"/>
                <w:b w:val="1"/>
                <w:bCs w:val="1"/>
                <w:sz w:val="16"/>
                <w:szCs w:val="16"/>
                <w:rtl w:val="0"/>
              </w:rPr>
              <w:t xml:space="preserve">Strong claim</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Fonts w:ascii="Times New Roman" w:cs="Times New Roman" w:eastAsia="Times New Roman" w:hAnsi="Times New Roman"/>
                <w:b w:val="1"/>
                <w:bCs w:val="1"/>
                <w:sz w:val="16"/>
                <w:szCs w:val="16"/>
                <w:rtl w:val="0"/>
              </w:rPr>
              <w:t xml:space="preserve">Suspicious claim</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Fonts w:ascii="Times New Roman" w:cs="Times New Roman" w:eastAsia="Times New Roman" w:hAnsi="Times New Roman"/>
                <w:b w:val="1"/>
                <w:bCs w:val="1"/>
                <w:sz w:val="16"/>
                <w:szCs w:val="16"/>
                <w:rtl w:val="0"/>
              </w:rPr>
              <w:t xml:space="preserve">Contradiction found</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Fonts w:ascii="Times New Roman" w:cs="Times New Roman" w:eastAsia="Times New Roman" w:hAnsi="Times New Roman"/>
                <w:b w:val="1"/>
                <w:bCs w:val="1"/>
                <w:sz w:val="16"/>
                <w:szCs w:val="16"/>
                <w:rtl w:val="0"/>
              </w:rPr>
              <w:t xml:space="preserve">Risk</w:t>
            </w:r>
            <w:r w:rsidDel="00000000" w:rsidR="00000000" w:rsidRPr="00000000">
              <w:rPr>
                <w:rtl w:val="0"/>
              </w:rPr>
            </w:r>
          </w:p>
        </w:tc>
      </w:tr>
      <w:tr>
        <w:trPr>
          <w:cantSplit w:val="0"/>
          <w:tblHeader w:val="0"/>
        </w:trPr>
        <w:tc>
          <w:tcPr/>
          <w:p w:rsidR="00000000" w:rsidDel="00000000" w:rsidP="00000000" w:rsidRDefault="00000000" w:rsidRPr="00000000" w14:paraId="00000050">
            <w:pPr>
              <w:rPr/>
            </w:pPr>
            <w:r w:rsidDel="00000000" w:rsidR="00000000" w:rsidRPr="00000000">
              <w:rPr>
                <w:rFonts w:ascii="Times New Roman" w:cs="Times New Roman" w:eastAsia="Times New Roman" w:hAnsi="Times New Roman"/>
                <w:sz w:val="16"/>
                <w:szCs w:val="16"/>
                <w:rtl w:val="0"/>
              </w:rPr>
              <w:t xml:space="preserve">Shell (Oman, ’24)</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Fonts w:ascii="Times New Roman" w:cs="Times New Roman" w:eastAsia="Times New Roman" w:hAnsi="Times New Roman"/>
                <w:sz w:val="16"/>
                <w:szCs w:val="16"/>
                <w:rtl w:val="0"/>
              </w:rPr>
              <w:t xml:space="preserve">Sustainability</w:t>
            </w:r>
            <w:r w:rsidDel="00000000" w:rsidR="00000000" w:rsidRPr="00000000">
              <w:rPr>
                <w:rtl w:val="0"/>
              </w:rPr>
            </w:r>
          </w:p>
        </w:tc>
        <w:tc>
          <w:tcPr/>
          <w:p w:rsidR="00000000" w:rsidDel="00000000" w:rsidP="00000000" w:rsidRDefault="00000000" w:rsidRPr="00000000" w14:paraId="00000052">
            <w:pPr>
              <w:rPr/>
            </w:pPr>
            <w:sdt>
              <w:sdtPr>
                <w:id w:val="-2137577120"/>
                <w:tag w:val="goog_rdk_0"/>
              </w:sdtPr>
              <w:sdtContent>
                <w:r w:rsidDel="00000000" w:rsidR="00000000" w:rsidRPr="00000000">
                  <w:rPr>
                    <w:rFonts w:ascii="Cardo" w:cs="Cardo" w:eastAsia="Cardo" w:hAnsi="Cardo"/>
                    <w:sz w:val="16"/>
                    <w:szCs w:val="16"/>
                    <w:rtl w:val="0"/>
                  </w:rPr>
                  <w:t xml:space="preserve">Scope 1 cut 940→638 tCO₂e (verifiable)</w:t>
                </w:r>
              </w:sdtContent>
            </w:sdt>
            <w:r w:rsidDel="00000000" w:rsidR="00000000" w:rsidRPr="00000000">
              <w:rPr>
                <w:rtl w:val="0"/>
              </w:rPr>
            </w:r>
          </w:p>
        </w:tc>
        <w:tc>
          <w:tcPr/>
          <w:p w:rsidR="00000000" w:rsidDel="00000000" w:rsidP="00000000" w:rsidRDefault="00000000" w:rsidRPr="00000000" w14:paraId="00000053">
            <w:pPr>
              <w:rPr/>
            </w:pPr>
            <w:r w:rsidDel="00000000" w:rsidR="00000000" w:rsidRPr="00000000">
              <w:rPr>
                <w:rFonts w:ascii="Times New Roman" w:cs="Times New Roman" w:eastAsia="Times New Roman" w:hAnsi="Times New Roman"/>
                <w:sz w:val="16"/>
                <w:szCs w:val="16"/>
                <w:rtl w:val="0"/>
              </w:rPr>
              <w:t xml:space="preserve">"committed to a sustainable future" (no target)</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Fonts w:ascii="Times New Roman" w:cs="Times New Roman" w:eastAsia="Times New Roman" w:hAnsi="Times New Roman"/>
                <w:sz w:val="16"/>
                <w:szCs w:val="16"/>
                <w:rtl w:val="0"/>
              </w:rPr>
              <w:t xml:space="preserve">Scope 1 fell but Scope 2 rose</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Fonts w:ascii="Times New Roman" w:cs="Times New Roman" w:eastAsia="Times New Roman" w:hAnsi="Times New Roman"/>
                <w:sz w:val="16"/>
                <w:szCs w:val="16"/>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056">
            <w:pPr>
              <w:rPr/>
            </w:pPr>
            <w:r w:rsidDel="00000000" w:rsidR="00000000" w:rsidRPr="00000000">
              <w:rPr>
                <w:rFonts w:ascii="Times New Roman" w:cs="Times New Roman" w:eastAsia="Times New Roman" w:hAnsi="Times New Roman"/>
                <w:sz w:val="16"/>
                <w:szCs w:val="16"/>
                <w:rtl w:val="0"/>
              </w:rPr>
              <w:t xml:space="preserve">Microsoft (’25)</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Fonts w:ascii="Times New Roman" w:cs="Times New Roman" w:eastAsia="Times New Roman" w:hAnsi="Times New Roman"/>
                <w:sz w:val="16"/>
                <w:szCs w:val="16"/>
                <w:rtl w:val="0"/>
              </w:rPr>
              <w:t xml:space="preserve">Environmental Sustainability</w:t>
            </w:r>
            <w:r w:rsidDel="00000000" w:rsidR="00000000" w:rsidRPr="00000000">
              <w:rPr>
                <w:rtl w:val="0"/>
              </w:rPr>
            </w:r>
          </w:p>
        </w:tc>
        <w:tc>
          <w:tcPr/>
          <w:p w:rsidR="00000000" w:rsidDel="00000000" w:rsidP="00000000" w:rsidRDefault="00000000" w:rsidRPr="00000000" w14:paraId="00000058">
            <w:pPr>
              <w:rPr/>
            </w:pPr>
            <w:sdt>
              <w:sdtPr>
                <w:id w:val="-212965297"/>
                <w:tag w:val="goog_rdk_1"/>
              </w:sdtPr>
              <w:sdtContent>
                <w:r w:rsidDel="00000000" w:rsidR="00000000" w:rsidRPr="00000000">
                  <w:rPr>
                    <w:rFonts w:ascii="Gungsuh" w:cs="Gungsuh" w:eastAsia="Gungsuh" w:hAnsi="Gungsuh"/>
                    <w:sz w:val="16"/>
                    <w:szCs w:val="16"/>
                    <w:rtl w:val="0"/>
                  </w:rPr>
                  <w:t xml:space="preserve">Scope 1+2 −29.9% vs 2020, Deloitte-assured</w:t>
                </w:r>
              </w:sdtContent>
            </w:sdt>
            <w:r w:rsidDel="00000000" w:rsidR="00000000" w:rsidRPr="00000000">
              <w:rPr>
                <w:rtl w:val="0"/>
              </w:rPr>
            </w:r>
          </w:p>
        </w:tc>
        <w:tc>
          <w:tcPr/>
          <w:p w:rsidR="00000000" w:rsidDel="00000000" w:rsidP="00000000" w:rsidRDefault="00000000" w:rsidRPr="00000000" w14:paraId="00000059">
            <w:pPr>
              <w:rPr/>
            </w:pPr>
            <w:r w:rsidDel="00000000" w:rsidR="00000000" w:rsidRPr="00000000">
              <w:rPr>
                <w:rFonts w:ascii="Times New Roman" w:cs="Times New Roman" w:eastAsia="Times New Roman" w:hAnsi="Times New Roman"/>
                <w:sz w:val="16"/>
                <w:szCs w:val="16"/>
                <w:rtl w:val="0"/>
              </w:rPr>
              <w:t xml:space="preserve">"carbon negative by 2030" (no progress shown)</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Fonts w:ascii="Times New Roman" w:cs="Times New Roman" w:eastAsia="Times New Roman" w:hAnsi="Times New Roman"/>
                <w:sz w:val="16"/>
                <w:szCs w:val="16"/>
                <w:rtl w:val="0"/>
              </w:rPr>
              <w:t xml:space="preserve">Total emissions +23.4%; Scope 3 (97%) +26.7%</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Fonts w:ascii="Times New Roman" w:cs="Times New Roman" w:eastAsia="Times New Roman" w:hAnsi="Times New Roman"/>
                <w:sz w:val="16"/>
                <w:szCs w:val="16"/>
                <w:rtl w:val="0"/>
              </w:rPr>
              <w:t xml:space="preserve">Med-High</w:t>
            </w:r>
            <w:r w:rsidDel="00000000" w:rsidR="00000000" w:rsidRPr="00000000">
              <w:rPr>
                <w:rtl w:val="0"/>
              </w:rPr>
            </w:r>
          </w:p>
        </w:tc>
      </w:tr>
      <w:tr>
        <w:trPr>
          <w:cantSplit w:val="0"/>
          <w:tblHeader w:val="0"/>
        </w:trPr>
        <w:tc>
          <w:tcPr/>
          <w:p w:rsidR="00000000" w:rsidDel="00000000" w:rsidP="00000000" w:rsidRDefault="00000000" w:rsidRPr="00000000" w14:paraId="0000005C">
            <w:pPr>
              <w:rPr/>
            </w:pPr>
            <w:r w:rsidDel="00000000" w:rsidR="00000000" w:rsidRPr="00000000">
              <w:rPr>
                <w:rFonts w:ascii="Times New Roman" w:cs="Times New Roman" w:eastAsia="Times New Roman" w:hAnsi="Times New Roman"/>
                <w:sz w:val="16"/>
                <w:szCs w:val="16"/>
                <w:rtl w:val="0"/>
              </w:rPr>
              <w:t xml:space="preserve">Unilever (’25)</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sz w:val="16"/>
                <w:szCs w:val="16"/>
                <w:rtl w:val="0"/>
              </w:rPr>
              <w:t xml:space="preserve">Sustainability statement</w:t>
            </w:r>
            <w:r w:rsidDel="00000000" w:rsidR="00000000" w:rsidRPr="00000000">
              <w:rPr>
                <w:rtl w:val="0"/>
              </w:rPr>
            </w:r>
          </w:p>
        </w:tc>
        <w:tc>
          <w:tcPr/>
          <w:p w:rsidR="00000000" w:rsidDel="00000000" w:rsidP="00000000" w:rsidRDefault="00000000" w:rsidRPr="00000000" w14:paraId="0000005E">
            <w:pPr>
              <w:rPr/>
            </w:pPr>
            <w:sdt>
              <w:sdtPr>
                <w:id w:val="-219067139"/>
                <w:tag w:val="goog_rdk_2"/>
              </w:sdtPr>
              <w:sdtContent>
                <w:r w:rsidDel="00000000" w:rsidR="00000000" w:rsidRPr="00000000">
                  <w:rPr>
                    <w:rFonts w:ascii="Gungsuh" w:cs="Gungsuh" w:eastAsia="Gungsuh" w:hAnsi="Gungsuh"/>
                    <w:sz w:val="16"/>
                    <w:szCs w:val="16"/>
                    <w:rtl w:val="0"/>
                  </w:rPr>
                  <w:t xml:space="preserve">Scope 1+2 −77% vs 2015; SBTi, KPMG</w:t>
                </w:r>
              </w:sdtContent>
            </w:sdt>
            <w:r w:rsidDel="00000000" w:rsidR="00000000" w:rsidRPr="00000000">
              <w:rPr>
                <w:rtl w:val="0"/>
              </w:rPr>
            </w:r>
          </w:p>
        </w:tc>
        <w:tc>
          <w:tcPr/>
          <w:p w:rsidR="00000000" w:rsidDel="00000000" w:rsidP="00000000" w:rsidRDefault="00000000" w:rsidRPr="00000000" w14:paraId="0000005F">
            <w:pPr>
              <w:rPr/>
            </w:pPr>
            <w:r w:rsidDel="00000000" w:rsidR="00000000" w:rsidRPr="00000000">
              <w:rPr>
                <w:rFonts w:ascii="Times New Roman" w:cs="Times New Roman" w:eastAsia="Times New Roman" w:hAnsi="Times New Roman"/>
                <w:sz w:val="16"/>
                <w:szCs w:val="16"/>
                <w:rtl w:val="0"/>
              </w:rPr>
              <w:t xml:space="preserve">88% "renewable" electricity</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Fonts w:ascii="Times New Roman" w:cs="Times New Roman" w:eastAsia="Times New Roman" w:hAnsi="Times New Roman"/>
                <w:sz w:val="16"/>
                <w:szCs w:val="16"/>
                <w:rtl w:val="0"/>
              </w:rPr>
              <w:t xml:space="preserve">~63 of 88 pp are unbundled RECs; admits 22% gap</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sz w:val="16"/>
                <w:szCs w:val="16"/>
                <w:rtl w:val="0"/>
              </w:rPr>
              <w:t xml:space="preserve">Low</w:t>
            </w:r>
            <w:r w:rsidDel="00000000" w:rsidR="00000000" w:rsidRPr="00000000">
              <w:rPr>
                <w:rtl w:val="0"/>
              </w:rPr>
            </w:r>
          </w:p>
        </w:tc>
      </w:tr>
      <w:tr>
        <w:trPr>
          <w:cantSplit w:val="0"/>
          <w:tblHeader w:val="0"/>
        </w:trPr>
        <w:tc>
          <w:tcPr/>
          <w:p w:rsidR="00000000" w:rsidDel="00000000" w:rsidP="00000000" w:rsidRDefault="00000000" w:rsidRPr="00000000" w14:paraId="00000062">
            <w:pPr>
              <w:rPr/>
            </w:pPr>
            <w:r w:rsidDel="00000000" w:rsidR="00000000" w:rsidRPr="00000000">
              <w:rPr>
                <w:rFonts w:ascii="Times New Roman" w:cs="Times New Roman" w:eastAsia="Times New Roman" w:hAnsi="Times New Roman"/>
                <w:sz w:val="16"/>
                <w:szCs w:val="16"/>
                <w:rtl w:val="0"/>
              </w:rPr>
              <w:t xml:space="preserve">Keurig Dr Pepper (’24)</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Fonts w:ascii="Times New Roman" w:cs="Times New Roman" w:eastAsia="Times New Roman" w:hAnsi="Times New Roman"/>
                <w:sz w:val="16"/>
                <w:szCs w:val="16"/>
                <w:rtl w:val="0"/>
              </w:rPr>
              <w:t xml:space="preserve">Impact Report</w:t>
            </w:r>
            <w:r w:rsidDel="00000000" w:rsidR="00000000" w:rsidRPr="00000000">
              <w:rPr>
                <w:rtl w:val="0"/>
              </w:rPr>
            </w:r>
          </w:p>
        </w:tc>
        <w:tc>
          <w:tcPr/>
          <w:p w:rsidR="00000000" w:rsidDel="00000000" w:rsidP="00000000" w:rsidRDefault="00000000" w:rsidRPr="00000000" w14:paraId="00000064">
            <w:pPr>
              <w:rPr/>
            </w:pPr>
            <w:sdt>
              <w:sdtPr>
                <w:id w:val="-1601551557"/>
                <w:tag w:val="goog_rdk_3"/>
              </w:sdtPr>
              <w:sdtContent>
                <w:r w:rsidDel="00000000" w:rsidR="00000000" w:rsidRPr="00000000">
                  <w:rPr>
                    <w:rFonts w:ascii="Gungsuh" w:cs="Gungsuh" w:eastAsia="Gungsuh" w:hAnsi="Gungsuh"/>
                    <w:sz w:val="16"/>
                    <w:szCs w:val="16"/>
                    <w:rtl w:val="0"/>
                  </w:rPr>
                  <w:t xml:space="preserve">Scope 1+2 −21% vs 2018; SBTi</w:t>
                </w:r>
              </w:sdtContent>
            </w:sdt>
            <w:r w:rsidDel="00000000" w:rsidR="00000000" w:rsidRPr="00000000">
              <w:rPr>
                <w:rtl w:val="0"/>
              </w:rPr>
            </w:r>
          </w:p>
        </w:tc>
        <w:tc>
          <w:tcPr/>
          <w:p w:rsidR="00000000" w:rsidDel="00000000" w:rsidP="00000000" w:rsidRDefault="00000000" w:rsidRPr="00000000" w14:paraId="00000065">
            <w:pPr>
              <w:rPr/>
            </w:pPr>
            <w:sdt>
              <w:sdtPr>
                <w:id w:val="-1081047309"/>
                <w:tag w:val="goog_rdk_4"/>
              </w:sdtPr>
              <w:sdtContent>
                <w:r w:rsidDel="00000000" w:rsidR="00000000" w:rsidRPr="00000000">
                  <w:rPr>
                    <w:rFonts w:ascii="Gungsuh" w:cs="Gungsuh" w:eastAsia="Gungsuh" w:hAnsi="Gungsuh"/>
                    <w:sz w:val="16"/>
                    <w:szCs w:val="16"/>
                    <w:rtl w:val="0"/>
                  </w:rPr>
                  <w:t xml:space="preserve">"selected" Scope 3 −13% (cherry-pick)</w:t>
                </w:r>
              </w:sdtContent>
            </w:sdt>
            <w:r w:rsidDel="00000000" w:rsidR="00000000" w:rsidRPr="00000000">
              <w:rPr>
                <w:rtl w:val="0"/>
              </w:rPr>
            </w:r>
          </w:p>
        </w:tc>
        <w:tc>
          <w:tcPr/>
          <w:p w:rsidR="00000000" w:rsidDel="00000000" w:rsidP="00000000" w:rsidRDefault="00000000" w:rsidRPr="00000000" w14:paraId="00000066">
            <w:pPr>
              <w:rPr/>
            </w:pPr>
            <w:r w:rsidDel="00000000" w:rsidR="00000000" w:rsidRPr="00000000">
              <w:rPr>
                <w:rFonts w:ascii="Times New Roman" w:cs="Times New Roman" w:eastAsia="Times New Roman" w:hAnsi="Times New Roman"/>
                <w:sz w:val="16"/>
                <w:szCs w:val="16"/>
                <w:rtl w:val="0"/>
              </w:rPr>
              <w:t xml:space="preserve">Total Scope 3 +6.5% (97% of footprint); SEC recyclability case</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Fonts w:ascii="Times New Roman" w:cs="Times New Roman" w:eastAsia="Times New Roman" w:hAnsi="Times New Roman"/>
                <w:sz w:val="16"/>
                <w:szCs w:val="16"/>
                <w:rtl w:val="0"/>
              </w:rPr>
              <w:t xml:space="preserve">Med-High</w:t>
            </w:r>
            <w:r w:rsidDel="00000000" w:rsidR="00000000" w:rsidRPr="00000000">
              <w:rPr>
                <w:rtl w:val="0"/>
              </w:rPr>
            </w:r>
          </w:p>
        </w:tc>
      </w:tr>
      <w:tr>
        <w:trPr>
          <w:cantSplit w:val="0"/>
          <w:tblHeader w:val="0"/>
        </w:trPr>
        <w:tc>
          <w:tcPr/>
          <w:p w:rsidR="00000000" w:rsidDel="00000000" w:rsidP="00000000" w:rsidRDefault="00000000" w:rsidRPr="00000000" w14:paraId="00000068">
            <w:pPr>
              <w:rPr/>
            </w:pPr>
            <w:r w:rsidDel="00000000" w:rsidR="00000000" w:rsidRPr="00000000">
              <w:rPr>
                <w:rFonts w:ascii="Times New Roman" w:cs="Times New Roman" w:eastAsia="Times New Roman" w:hAnsi="Times New Roman"/>
                <w:sz w:val="16"/>
                <w:szCs w:val="16"/>
                <w:rtl w:val="0"/>
              </w:rPr>
              <w:t xml:space="preserve">IKEA (’24)</w:t>
            </w:r>
            <w:r w:rsidDel="00000000" w:rsidR="00000000" w:rsidRPr="00000000">
              <w:rPr>
                <w:rtl w:val="0"/>
              </w:rPr>
            </w:r>
          </w:p>
        </w:tc>
        <w:tc>
          <w:tcPr/>
          <w:p w:rsidR="00000000" w:rsidDel="00000000" w:rsidP="00000000" w:rsidRDefault="00000000" w:rsidRPr="00000000" w14:paraId="00000069">
            <w:pPr>
              <w:rPr/>
            </w:pPr>
            <w:r w:rsidDel="00000000" w:rsidR="00000000" w:rsidRPr="00000000">
              <w:rPr>
                <w:rFonts w:ascii="Times New Roman" w:cs="Times New Roman" w:eastAsia="Times New Roman" w:hAnsi="Times New Roman"/>
                <w:sz w:val="16"/>
                <w:szCs w:val="16"/>
                <w:rtl w:val="0"/>
              </w:rPr>
              <w:t xml:space="preserve">Sustainability Report</w:t>
            </w:r>
            <w:r w:rsidDel="00000000" w:rsidR="00000000" w:rsidRPr="00000000">
              <w:rPr>
                <w:rtl w:val="0"/>
              </w:rPr>
            </w:r>
          </w:p>
        </w:tc>
        <w:tc>
          <w:tcPr/>
          <w:p w:rsidR="00000000" w:rsidDel="00000000" w:rsidP="00000000" w:rsidRDefault="00000000" w:rsidRPr="00000000" w14:paraId="0000006A">
            <w:pPr>
              <w:rPr/>
            </w:pPr>
            <w:sdt>
              <w:sdtPr>
                <w:id w:val="1750658229"/>
                <w:tag w:val="goog_rdk_5"/>
              </w:sdtPr>
              <w:sdtContent>
                <w:r w:rsidDel="00000000" w:rsidR="00000000" w:rsidRPr="00000000">
                  <w:rPr>
                    <w:rFonts w:ascii="Gungsuh" w:cs="Gungsuh" w:eastAsia="Gungsuh" w:hAnsi="Gungsuh"/>
                    <w:sz w:val="16"/>
                    <w:szCs w:val="16"/>
                    <w:rtl w:val="0"/>
                  </w:rPr>
                  <w:t xml:space="preserve">Total footprint −28% vs FY16; SBTi</w:t>
                </w:r>
              </w:sdtContent>
            </w:sdt>
            <w:r w:rsidDel="00000000" w:rsidR="00000000" w:rsidRPr="00000000">
              <w:rPr>
                <w:rtl w:val="0"/>
              </w:rPr>
            </w:r>
          </w:p>
        </w:tc>
        <w:tc>
          <w:tcPr/>
          <w:p w:rsidR="00000000" w:rsidDel="00000000" w:rsidP="00000000" w:rsidRDefault="00000000" w:rsidRPr="00000000" w14:paraId="0000006B">
            <w:pPr>
              <w:rPr/>
            </w:pPr>
            <w:sdt>
              <w:sdtPr>
                <w:id w:val="-1020185827"/>
                <w:tag w:val="goog_rdk_6"/>
              </w:sdtPr>
              <w:sdtContent>
                <w:r w:rsidDel="00000000" w:rsidR="00000000" w:rsidRPr="00000000">
                  <w:rPr>
                    <w:rFonts w:ascii="Gungsuh" w:cs="Gungsuh" w:eastAsia="Gungsuh" w:hAnsi="Gungsuh"/>
                    <w:sz w:val="16"/>
                    <w:szCs w:val="16"/>
                    <w:rtl w:val="0"/>
                  </w:rPr>
                  <w:t xml:space="preserve">"aim −30% home-delivery footprint"</w:t>
                </w:r>
              </w:sdtContent>
            </w:sdt>
            <w:r w:rsidDel="00000000" w:rsidR="00000000" w:rsidRPr="00000000">
              <w:rPr>
                <w:rtl w:val="0"/>
              </w:rPr>
            </w:r>
          </w:p>
        </w:tc>
        <w:tc>
          <w:tcPr/>
          <w:p w:rsidR="00000000" w:rsidDel="00000000" w:rsidP="00000000" w:rsidRDefault="00000000" w:rsidRPr="00000000" w14:paraId="0000006C">
            <w:pPr>
              <w:rPr/>
            </w:pPr>
            <w:r w:rsidDel="00000000" w:rsidR="00000000" w:rsidRPr="00000000">
              <w:rPr>
                <w:rFonts w:ascii="Times New Roman" w:cs="Times New Roman" w:eastAsia="Times New Roman" w:hAnsi="Times New Roman"/>
                <w:sz w:val="16"/>
                <w:szCs w:val="16"/>
                <w:rtl w:val="0"/>
              </w:rPr>
              <w:t xml:space="preserve">Instead +48%; no FY24 water footprint disclosed</w:t>
            </w:r>
            <w:r w:rsidDel="00000000" w:rsidR="00000000" w:rsidRPr="00000000">
              <w:rPr>
                <w:rtl w:val="0"/>
              </w:rPr>
            </w:r>
          </w:p>
        </w:tc>
        <w:tc>
          <w:tcPr/>
          <w:p w:rsidR="00000000" w:rsidDel="00000000" w:rsidP="00000000" w:rsidRDefault="00000000" w:rsidRPr="00000000" w14:paraId="0000006D">
            <w:pPr>
              <w:rPr/>
            </w:pPr>
            <w:r w:rsidDel="00000000" w:rsidR="00000000" w:rsidRPr="00000000">
              <w:rPr>
                <w:rFonts w:ascii="Times New Roman" w:cs="Times New Roman" w:eastAsia="Times New Roman" w:hAnsi="Times New Roman"/>
                <w:sz w:val="16"/>
                <w:szCs w:val="16"/>
                <w:rtl w:val="0"/>
              </w:rPr>
              <w:t xml:space="preserve">Low</w:t>
            </w:r>
            <w:r w:rsidDel="00000000" w:rsidR="00000000" w:rsidRPr="00000000">
              <w:rPr>
                <w:rtl w:val="0"/>
              </w:rPr>
            </w:r>
          </w:p>
        </w:tc>
      </w:tr>
      <w:tr>
        <w:trPr>
          <w:cantSplit w:val="0"/>
          <w:tblHeader w:val="0"/>
        </w:trPr>
        <w:tc>
          <w:tcPr/>
          <w:p w:rsidR="00000000" w:rsidDel="00000000" w:rsidP="00000000" w:rsidRDefault="00000000" w:rsidRPr="00000000" w14:paraId="0000006E">
            <w:pPr>
              <w:rPr/>
            </w:pPr>
            <w:r w:rsidDel="00000000" w:rsidR="00000000" w:rsidRPr="00000000">
              <w:rPr>
                <w:rFonts w:ascii="Times New Roman" w:cs="Times New Roman" w:eastAsia="Times New Roman" w:hAnsi="Times New Roman"/>
                <w:sz w:val="16"/>
                <w:szCs w:val="16"/>
                <w:rtl w:val="0"/>
              </w:rPr>
              <w:t xml:space="preserve">BP (’25)</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Fonts w:ascii="Times New Roman" w:cs="Times New Roman" w:eastAsia="Times New Roman" w:hAnsi="Times New Roman"/>
                <w:sz w:val="16"/>
                <w:szCs w:val="16"/>
                <w:rtl w:val="0"/>
              </w:rPr>
              <w:t xml:space="preserve">Sustainability Report</w:t>
            </w:r>
            <w:r w:rsidDel="00000000" w:rsidR="00000000" w:rsidRPr="00000000">
              <w:rPr>
                <w:rtl w:val="0"/>
              </w:rPr>
            </w:r>
          </w:p>
        </w:tc>
        <w:tc>
          <w:tcPr/>
          <w:p w:rsidR="00000000" w:rsidDel="00000000" w:rsidP="00000000" w:rsidRDefault="00000000" w:rsidRPr="00000000" w14:paraId="00000070">
            <w:pPr>
              <w:rPr/>
            </w:pPr>
            <w:r w:rsidDel="00000000" w:rsidR="00000000" w:rsidRPr="00000000">
              <w:rPr>
                <w:rFonts w:ascii="Times New Roman" w:cs="Times New Roman" w:eastAsia="Times New Roman" w:hAnsi="Times New Roman"/>
                <w:sz w:val="16"/>
                <w:szCs w:val="16"/>
                <w:rtl w:val="0"/>
              </w:rPr>
              <w:t xml:space="preserve">Methane intensity 0.04% vs 0.20% target</w:t>
            </w:r>
            <w:r w:rsidDel="00000000" w:rsidR="00000000" w:rsidRPr="00000000">
              <w:rPr>
                <w:rtl w:val="0"/>
              </w:rPr>
            </w:r>
          </w:p>
        </w:tc>
        <w:tc>
          <w:tcPr/>
          <w:p w:rsidR="00000000" w:rsidDel="00000000" w:rsidP="00000000" w:rsidRDefault="00000000" w:rsidRPr="00000000" w14:paraId="00000071">
            <w:pPr>
              <w:rPr/>
            </w:pPr>
            <w:sdt>
              <w:sdtPr>
                <w:id w:val="152179871"/>
                <w:tag w:val="goog_rdk_7"/>
              </w:sdtPr>
              <w:sdtContent>
                <w:r w:rsidDel="00000000" w:rsidR="00000000" w:rsidRPr="00000000">
                  <w:rPr>
                    <w:rFonts w:ascii="Gungsuh" w:cs="Gungsuh" w:eastAsia="Gungsuh" w:hAnsi="Gungsuh"/>
                    <w:sz w:val="16"/>
                    <w:szCs w:val="16"/>
                    <w:rtl w:val="0"/>
                  </w:rPr>
                  <w:t xml:space="preserve">"operational emissions −37%"</w:t>
                </w:r>
              </w:sdtContent>
            </w:sdt>
            <w:r w:rsidDel="00000000" w:rsidR="00000000" w:rsidRPr="00000000">
              <w:rPr>
                <w:rtl w:val="0"/>
              </w:rPr>
            </w:r>
          </w:p>
        </w:tc>
        <w:tc>
          <w:tcPr/>
          <w:p w:rsidR="00000000" w:rsidDel="00000000" w:rsidP="00000000" w:rsidRDefault="00000000" w:rsidRPr="00000000" w14:paraId="00000072">
            <w:pPr>
              <w:rPr/>
            </w:pPr>
            <w:r w:rsidDel="00000000" w:rsidR="00000000" w:rsidRPr="00000000">
              <w:rPr>
                <w:rFonts w:ascii="Times New Roman" w:cs="Times New Roman" w:eastAsia="Times New Roman" w:hAnsi="Times New Roman"/>
                <w:sz w:val="16"/>
                <w:szCs w:val="16"/>
                <w:rtl w:val="0"/>
              </w:rPr>
              <w:t xml:space="preserve">Covers ~5% of footprint; climate targets retired</w:t>
            </w:r>
            <w:r w:rsidDel="00000000" w:rsidR="00000000" w:rsidRPr="00000000">
              <w:rPr>
                <w:rtl w:val="0"/>
              </w:rPr>
            </w:r>
          </w:p>
        </w:tc>
        <w:tc>
          <w:tcPr/>
          <w:p w:rsidR="00000000" w:rsidDel="00000000" w:rsidP="00000000" w:rsidRDefault="00000000" w:rsidRPr="00000000" w14:paraId="00000073">
            <w:pPr>
              <w:rPr/>
            </w:pPr>
            <w:r w:rsidDel="00000000" w:rsidR="00000000" w:rsidRPr="00000000">
              <w:rPr>
                <w:rFonts w:ascii="Times New Roman" w:cs="Times New Roman" w:eastAsia="Times New Roman" w:hAnsi="Times New Roman"/>
                <w:sz w:val="16"/>
                <w:szCs w:val="16"/>
                <w:rtl w:val="0"/>
              </w:rPr>
              <w:t xml:space="preserve">High</w:t>
            </w:r>
            <w:r w:rsidDel="00000000" w:rsidR="00000000" w:rsidRPr="00000000">
              <w:rPr>
                <w:rtl w:val="0"/>
              </w:rPr>
            </w:r>
          </w:p>
        </w:tc>
      </w:tr>
    </w:tbl>
    <w:p w:rsidR="00000000" w:rsidDel="00000000" w:rsidP="00000000" w:rsidRDefault="00000000" w:rsidRPr="00000000" w14:paraId="00000074">
      <w:pPr>
        <w:pStyle w:val="Heading3"/>
        <w:rPr/>
      </w:pPr>
      <w:r w:rsidDel="00000000" w:rsidR="00000000" w:rsidRPr="00000000">
        <w:rPr>
          <w:color w:val="000000"/>
          <w:rtl w:val="0"/>
        </w:rPr>
        <w:t xml:space="preserve">Outputs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ESG Report Repository</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ESG Report Master Table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Preliminary qualitative analysis of six ESG reports</w:t>
      </w:r>
    </w:p>
    <w:p w:rsidR="00000000" w:rsidDel="00000000" w:rsidP="00000000" w:rsidRDefault="00000000" w:rsidRPr="00000000" w14:paraId="00000078">
      <w:pPr>
        <w:pStyle w:val="Heading2"/>
        <w:rPr/>
      </w:pPr>
      <w:r w:rsidDel="00000000" w:rsidR="00000000" w:rsidRPr="00000000">
        <w:rPr>
          <w:color w:val="000000"/>
          <w:rtl w:val="0"/>
        </w:rPr>
        <w:t xml:space="preserve">WP1.5 – Human Annotation Guideline Development</w:t>
      </w:r>
      <w:r w:rsidDel="00000000" w:rsidR="00000000" w:rsidRPr="00000000">
        <w:rPr>
          <w:rtl w:val="0"/>
        </w:rPr>
      </w:r>
    </w:p>
    <w:p w:rsidR="00000000" w:rsidDel="00000000" w:rsidP="00000000" w:rsidRDefault="00000000" w:rsidRPr="00000000" w14:paraId="00000079">
      <w:pPr>
        <w:pStyle w:val="Heading3"/>
        <w:rPr>
          <w:b w:val="0"/>
          <w:bCs w:val="0"/>
          <w:i w:val="0"/>
          <w:iCs w:val="0"/>
        </w:rPr>
      </w:pPr>
      <w:r w:rsidDel="00000000" w:rsidR="00000000" w:rsidRPr="00000000">
        <w:rPr>
          <w:color w:val="000000"/>
          <w:rtl w:val="0"/>
        </w:rPr>
        <w:t xml:space="preserve">Objective: </w:t>
      </w:r>
      <w:r w:rsidDel="00000000" w:rsidR="00000000" w:rsidRPr="00000000">
        <w:rPr>
          <w:b w:val="0"/>
          <w:bCs w:val="0"/>
          <w:i w:val="0"/>
          <w:iCs w:val="0"/>
          <w:rtl w:val="0"/>
        </w:rPr>
        <w:t xml:space="preserve">To establish a consistent human annotation protocol for identifying genuine ESG claims before introducing automated learning models.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b w:val="0"/>
          <w:bCs w:val="0"/>
          <w:i w:val="0"/>
          <w:iCs w:val="0"/>
          <w:rtl w:val="0"/>
        </w:rPr>
        <w:t xml:space="preserve">The central artefact of this work package is an operational definition of a claim, developed iteratively as borderline cases were encountered. A sentence is labelled a genuine ESG claim only when the company asserts something about its own conduct: (a) a measurable result or performance ("we reduced virgin plastic use by 29% versus a 2019 baseline"); (b) a forward-looking commitment or target ("net zero by 2039"); or (c) a verifiable property of its products or operations ("our packaging is recyclable"). Conversely, four sentence families that superficially resemble claims are explicitly defined as non-claims: reports of activities or memberships with no stated outcome ("we co-hosted a roundtable on biomethane"); descriptions of risks, dependencies, or environmental conditions ("agriculture is increasingly vulnerable to climate change"); explanations of reporting methodology or definitions ("Scope 1 emissions are calculated using…"); and general advocacy or opinion statements ("collective action is critical"). The underlying principle is that a claim is an assertion, whereas a non-claim is a report of an activity or a description of a condition.</w:t>
      </w:r>
      <w:r w:rsidDel="00000000" w:rsidR="00000000" w:rsidRPr="00000000">
        <w:rPr>
          <w:rtl w:val="0"/>
        </w:rPr>
      </w:r>
    </w:p>
    <w:p w:rsidR="00000000" w:rsidDel="00000000" w:rsidP="00000000" w:rsidRDefault="00000000" w:rsidRPr="00000000" w14:paraId="0000007C">
      <w:pPr>
        <w:rPr/>
      </w:pPr>
      <w:r w:rsidDel="00000000" w:rsidR="00000000" w:rsidRPr="00000000">
        <w:rPr>
          <w:b w:val="0"/>
          <w:bCs w:val="0"/>
          <w:i w:val="0"/>
          <w:iCs w:val="0"/>
          <w:rtl w:val="0"/>
        </w:rPr>
        <w:t xml:space="preserve">Each claim is further categorized along two dimensions. Its ESG type assigns it to the Environmental, Social, or Governance pillar based on the dominant subject of the sentence, judged by the primary claimed outcome (planet, people, or corporate governance) rather than by surface vocabulary. Its claim type distinguishes Strong claims (measurable, achieved results), Future Promises (forward-looking commitments), and Vague claims (assertions without measurable substance), a taxonomy that maps directly onto the greenwashing signals of interest: verifiable substance, deferred commitment, and unsubstantiated language.</w:t>
      </w:r>
      <w:r w:rsidDel="00000000" w:rsidR="00000000" w:rsidRPr="00000000">
        <w:rPr>
          <w:rtl w:val="0"/>
        </w:rPr>
      </w:r>
    </w:p>
    <w:p w:rsidR="00000000" w:rsidDel="00000000" w:rsidP="00000000" w:rsidRDefault="00000000" w:rsidRPr="00000000" w14:paraId="0000007D">
      <w:pPr>
        <w:rPr/>
      </w:pPr>
      <w:r w:rsidDel="00000000" w:rsidR="00000000" w:rsidRPr="00000000">
        <w:rPr>
          <w:b w:val="0"/>
          <w:bCs w:val="0"/>
          <w:i w:val="0"/>
          <w:iCs w:val="0"/>
          <w:rtl w:val="0"/>
        </w:rPr>
        <w:t xml:space="preserve">Two annotators, the first author and a domain expert, applied this protocol independently to randomly selected claim candidates, recording for each item the claim judgement, the ESG type, and a short written rationale. Ambiguous cases were discussed to consensus, and each resolution was codified back into the guideline. For example, when the two annotators initially disagreed on whether an advocacy statement ("collective action is critical to advance policy solutions") constitutes a vague claim, the discussion produced an explicit rule (advocacy without a stated company action is a non-claim) that both annotators subsequently applied. This iterative definition-annotation-resolution loop makes the resulting benchmark consistent and reproducible, and the documented rationales double as training material for later annotation rounds.</w:t>
      </w:r>
      <w:r w:rsidDel="00000000" w:rsidR="00000000" w:rsidRPr="00000000">
        <w:rPr>
          <w:rtl w:val="0"/>
        </w:rPr>
      </w:r>
    </w:p>
    <w:p w:rsidR="00000000" w:rsidDel="00000000" w:rsidP="00000000" w:rsidRDefault="00000000" w:rsidRPr="00000000" w14:paraId="0000007E">
      <w:pPr>
        <w:pStyle w:val="Heading3"/>
        <w:rPr/>
      </w:pPr>
      <w:r w:rsidDel="00000000" w:rsidR="00000000" w:rsidRPr="00000000">
        <w:rPr>
          <w:color w:val="000000"/>
          <w:rtl w:val="0"/>
        </w:rPr>
        <w:t xml:space="preserve">Outputs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Human-annotated benchmark dataset</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GreenBERT Annotation Guideline v1</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Gold-standard labelled ESG claims</w:t>
      </w:r>
    </w:p>
    <w:p w:rsidR="00000000" w:rsidDel="00000000" w:rsidP="00000000" w:rsidRDefault="00000000" w:rsidRPr="00000000" w14:paraId="00000082">
      <w:pPr>
        <w:pStyle w:val="Heading2"/>
        <w:rPr/>
      </w:pPr>
      <w:r w:rsidDel="00000000" w:rsidR="00000000" w:rsidRPr="00000000">
        <w:rPr>
          <w:color w:val="000000"/>
          <w:rtl w:val="0"/>
        </w:rPr>
        <w:t xml:space="preserve">WP2 – Rule-Based Claim Extraction Engine</w:t>
      </w:r>
      <w:r w:rsidDel="00000000" w:rsidR="00000000" w:rsidRPr="00000000">
        <w:rPr>
          <w:rtl w:val="0"/>
        </w:rPr>
      </w:r>
    </w:p>
    <w:p w:rsidR="00000000" w:rsidDel="00000000" w:rsidP="00000000" w:rsidRDefault="00000000" w:rsidRPr="00000000" w14:paraId="00000083">
      <w:pPr>
        <w:pStyle w:val="Heading3"/>
        <w:rPr>
          <w:b w:val="0"/>
          <w:bCs w:val="0"/>
          <w:i w:val="0"/>
          <w:iCs w:val="0"/>
        </w:rPr>
      </w:pPr>
      <w:r w:rsidDel="00000000" w:rsidR="00000000" w:rsidRPr="00000000">
        <w:rPr>
          <w:color w:val="000000"/>
          <w:rtl w:val="0"/>
        </w:rPr>
        <w:t xml:space="preserve">Objective: </w:t>
      </w:r>
      <w:r w:rsidDel="00000000" w:rsidR="00000000" w:rsidRPr="00000000">
        <w:rPr>
          <w:b w:val="0"/>
          <w:bCs w:val="0"/>
          <w:i w:val="0"/>
          <w:iCs w:val="0"/>
          <w:rtl w:val="0"/>
        </w:rPr>
        <w:t xml:space="preserve">Automatically extract candidate ESG claims from corporate sustainability reports.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b w:val="0"/>
          <w:bCs w:val="0"/>
          <w:i w:val="0"/>
          <w:iCs w:val="0"/>
          <w:rtl w:val="0"/>
        </w:rPr>
        <w:t xml:space="preserve">A transparent rule-based extraction engine was implemented in Python before any neural model, for three reasons: it provides an interpretable baseline against which later transformer models can be measured; it quantifies how far surface-level lexical patterns alone can identify claims; and it produces the labelled candidate set required to train and evaluate those models. </w:t>
      </w:r>
      <w:sdt>
        <w:sdtPr>
          <w:id w:val="-1742487342"/>
          <w:tag w:val="goog_rdk_8"/>
        </w:sdtPr>
        <w:sdtContent>
          <w:commentRangeStart w:id="0"/>
        </w:sdtContent>
      </w:sdt>
      <w:r w:rsidDel="00000000" w:rsidR="00000000" w:rsidRPr="00000000">
        <w:rPr>
          <w:b w:val="0"/>
          <w:bCs w:val="0"/>
          <w:i w:val="0"/>
          <w:iCs w:val="0"/>
          <w:rtl w:val="0"/>
        </w:rPr>
        <w:t xml:space="preserve">The engine is organized as a four-layer pipeline.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6">
      <w:pPr>
        <w:rPr/>
      </w:pPr>
      <w:r w:rsidDel="00000000" w:rsidR="00000000" w:rsidRPr="00000000">
        <w:rPr>
          <w:b w:val="0"/>
          <w:bCs w:val="0"/>
          <w:i w:val="0"/>
          <w:iCs w:val="0"/>
          <w:rtl w:val="0"/>
        </w:rPr>
        <w:t xml:space="preserve">Document processing. Each PDF report is parsed with PyMuPDF page by page, so that every extracted sentence retains its source page number, which is essential for later human verification and evidence linking. The raw text of each report is also saved with page markers as a verification artefact.</w:t>
      </w:r>
      <w:r w:rsidDel="00000000" w:rsidR="00000000" w:rsidRPr="00000000">
        <w:rPr>
          <w:rtl w:val="0"/>
        </w:rPr>
      </w:r>
    </w:p>
    <w:p w:rsidR="00000000" w:rsidDel="00000000" w:rsidP="00000000" w:rsidRDefault="00000000" w:rsidRPr="00000000" w14:paraId="00000087">
      <w:pPr>
        <w:rPr/>
      </w:pPr>
      <w:r w:rsidDel="00000000" w:rsidR="00000000" w:rsidRPr="00000000">
        <w:rPr>
          <w:b w:val="0"/>
          <w:bCs w:val="0"/>
          <w:i w:val="0"/>
          <w:iCs w:val="0"/>
          <w:rtl w:val="0"/>
        </w:rPr>
        <w:t xml:space="preserve">NLP preprocessing. Page text is segmented into sentences using NLTK’s Punkt tokenizer. Sentences are then screened by length (4–45 words) to remove headings, fragments, and over-long legal blocks; matched against a legal-boilerplate phrase list ("forward-looking statement", "cautionary statement"); filtered for reference density (sentences with five or more numeric tokens or repeated page references, which indicate tables of contents and index material); and de-duplicated, since running headers and footers recur on every page.</w:t>
      </w:r>
      <w:r w:rsidDel="00000000" w:rsidR="00000000" w:rsidRPr="00000000">
        <w:rPr>
          <w:rtl w:val="0"/>
        </w:rPr>
      </w:r>
    </w:p>
    <w:p w:rsidR="00000000" w:rsidDel="00000000" w:rsidP="00000000" w:rsidRDefault="00000000" w:rsidRPr="00000000" w14:paraId="00000088">
      <w:pPr>
        <w:rPr/>
      </w:pPr>
      <w:r w:rsidDel="00000000" w:rsidR="00000000" w:rsidRPr="00000000">
        <w:rPr>
          <w:b w:val="0"/>
          <w:bCs w:val="0"/>
          <w:i w:val="0"/>
          <w:iCs w:val="0"/>
          <w:rtl w:val="0"/>
        </w:rPr>
        <w:t xml:space="preserve">Rule engine. A sentence is admitted as a candidate claim only if it satisfies the operational claim definition from WP1.5, approximated lexically: it must contain an ESG topic keyword (e.g., carbon, emissions, water, plastic, biodiversity) and either an action or commitment keyword (reduced, achieved, committed, aim, target) or a hard quantity such as a percentage or a number with a physical unit (tCO₂e, kWh, litres, million). The conjunction is essential: in an ESG report nearly every sentence contains sustainability vocabulary, so topic keywords alone cannot separate a claim ("we reduced emissions 29%") from description ("emissions data relates to…"). Requiring an assertion signal (an action verb or a measured quantity) is what distinguishes claiming from merely mentioning.</w:t>
      </w:r>
      <w:r w:rsidDel="00000000" w:rsidR="00000000" w:rsidRPr="00000000">
        <w:rPr>
          <w:rtl w:val="0"/>
        </w:rPr>
      </w:r>
    </w:p>
    <w:p w:rsidR="00000000" w:rsidDel="00000000" w:rsidP="00000000" w:rsidRDefault="00000000" w:rsidRPr="00000000" w14:paraId="00000089">
      <w:pPr>
        <w:rPr/>
      </w:pPr>
      <w:sdt>
        <w:sdtPr>
          <w:id w:val="-169883006"/>
          <w:tag w:val="goog_rdk_9"/>
        </w:sdtPr>
        <w:sdtContent>
          <w:r w:rsidDel="00000000" w:rsidR="00000000" w:rsidRPr="00000000">
            <w:rPr>
              <w:rFonts w:ascii="Cardo" w:cs="Cardo" w:eastAsia="Cardo" w:hAnsi="Cardo"/>
              <w:b w:val="0"/>
              <w:bCs w:val="0"/>
              <w:i w:val="0"/>
              <w:iCs w:val="0"/>
              <w:rtl w:val="0"/>
            </w:rPr>
            <w:t xml:space="preserve">Automatic classification. Each retained candidate is automatically pre-classified: its claim type (forward-looking markers → Future Promise; else a hard quantity → Strong; else Vague), an evidence indicator, a derived risk signal that flags unsubstantiated promises and unsupported vague statements, and its ESG type. Results are written as a tab-separated table (one row per claim, with company, page, and claim text) that feeds directly into the ESG Report Master Table for human annotation.</w:t>
          </w:r>
        </w:sdtContent>
      </w:sdt>
      <w:r w:rsidDel="00000000" w:rsidR="00000000" w:rsidRPr="00000000">
        <w:rPr>
          <w:rtl w:val="0"/>
        </w:rPr>
      </w:r>
    </w:p>
    <w:p w:rsidR="00000000" w:rsidDel="00000000" w:rsidP="00000000" w:rsidRDefault="00000000" w:rsidRPr="00000000" w14:paraId="0000008A">
      <w:pPr>
        <w:rPr/>
      </w:pPr>
      <w:r w:rsidDel="00000000" w:rsidR="00000000" w:rsidRPr="00000000">
        <w:rPr>
          <w:b w:val="0"/>
          <w:bCs w:val="0"/>
          <w:i w:val="0"/>
          <w:iCs w:val="0"/>
          <w:rtl w:val="0"/>
        </w:rPr>
        <w:t xml:space="preserve">On its first full run (v1), the engine’s successive pre-filters reduced the Unilever report from 1,016 raw keyword matches to 899 after boilerplate filtering and finally to 373 candidate claims. This was an early demonstration that lexical filtering alone sharply improves precision, but also an early sign of its limits, since manual inspection showed that governance and methodology sentences still leaked through.</w:t>
      </w:r>
      <w:r w:rsidDel="00000000" w:rsidR="00000000" w:rsidRPr="00000000">
        <w:rPr>
          <w:rtl w:val="0"/>
        </w:rPr>
      </w:r>
    </w:p>
    <w:p w:rsidR="00000000" w:rsidDel="00000000" w:rsidP="00000000" w:rsidRDefault="00000000" w:rsidRPr="00000000" w14:paraId="0000008B">
      <w:pPr>
        <w:pStyle w:val="Heading3"/>
        <w:rPr/>
      </w:pPr>
      <w:r w:rsidDel="00000000" w:rsidR="00000000" w:rsidRPr="00000000">
        <w:rPr>
          <w:color w:val="000000"/>
          <w:rtl w:val="0"/>
        </w:rPr>
        <w:t xml:space="preserve">Deliverables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GreenBERT Rule Engine v1</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Candidate Claim Dataset</w:t>
      </w:r>
    </w:p>
    <w:p w:rsidR="00000000" w:rsidDel="00000000" w:rsidP="00000000" w:rsidRDefault="00000000" w:rsidRPr="00000000" w14:paraId="0000008E">
      <w:pPr>
        <w:pStyle w:val="Heading2"/>
        <w:rPr/>
      </w:pPr>
      <w:r w:rsidDel="00000000" w:rsidR="00000000" w:rsidRPr="00000000">
        <w:rPr>
          <w:color w:val="000000"/>
          <w:rtl w:val="0"/>
        </w:rPr>
        <w:t xml:space="preserve">WP2.5 – Human Validation and Error Analysis</w:t>
      </w:r>
      <w:r w:rsidDel="00000000" w:rsidR="00000000" w:rsidRPr="00000000">
        <w:rPr>
          <w:rtl w:val="0"/>
        </w:rPr>
      </w:r>
    </w:p>
    <w:p w:rsidR="00000000" w:rsidDel="00000000" w:rsidP="00000000" w:rsidRDefault="00000000" w:rsidRPr="00000000" w14:paraId="0000008F">
      <w:pPr>
        <w:pStyle w:val="Heading3"/>
        <w:rPr>
          <w:b w:val="0"/>
          <w:bCs w:val="0"/>
          <w:i w:val="0"/>
          <w:iCs w:val="0"/>
        </w:rPr>
      </w:pPr>
      <w:r w:rsidDel="00000000" w:rsidR="00000000" w:rsidRPr="00000000">
        <w:rPr>
          <w:color w:val="000000"/>
          <w:rtl w:val="0"/>
        </w:rPr>
        <w:t xml:space="preserve">Objective: </w:t>
      </w:r>
      <w:r w:rsidDel="00000000" w:rsidR="00000000" w:rsidRPr="00000000">
        <w:rPr>
          <w:b w:val="0"/>
          <w:bCs w:val="0"/>
          <w:i w:val="0"/>
          <w:iCs w:val="0"/>
          <w:rtl w:val="0"/>
        </w:rPr>
        <w:t xml:space="preserve">Evaluate and improve the rule-based system.</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b w:val="0"/>
          <w:bCs w:val="0"/>
          <w:i w:val="0"/>
          <w:iCs w:val="0"/>
          <w:rtl w:val="0"/>
        </w:rPr>
        <w:t xml:space="preserve">The v1 candidate set was validated against the WP1.5 protocol on two contrasting reports: the ESRS-aligned Unilever sustainability statement and the narrative Keurig Dr Pepper impact report. The two annotators independently labelled a sample of extracted candidates, recording for each whether it is a real ESG claim, its correct ESG type, and a written rationale.</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Of the 26 candidates in this first validation sample, 11 were genuine claims and 15 were false positives, corresponding to a raw v1 precision of 42%.</w:t>
      </w:r>
      <w:r w:rsidDel="00000000" w:rsidR="00000000" w:rsidRPr="00000000">
        <w:rPr>
          <w:rtl w:val="0"/>
        </w:rPr>
        <w:t xml:space="preserve"> More important than the rate itself was the structure of the errors: the false positives were not random but clustered into six systematic categories: (i) reporting methodology and definitions ("emissions are calculated using…"); (ii) governance and report-structure descriptions ("the Remuneration Committee aligns the incentive plan with sustainability priorities"); (iii) risk and dependency descriptions ("we source ingredients from sectors vulnerable to climate change"); (iv) activity reports without outcomes ("we co-hosted a roundtable"); (v) general advocacy ("collective action is critical"); and (vi) navigation fragments and running headers carried in by topic keywords. Validation also exposed classification errors, such as workplace uses of "environment" ("an environment where employees can do their best work") being mislabelled Environmental, and the annotators’ disagreement log fed directly back into the annotation guideline.</w:t>
      </w:r>
    </w:p>
    <w:p w:rsidR="00000000" w:rsidDel="00000000" w:rsidP="00000000" w:rsidRDefault="00000000" w:rsidRPr="00000000" w14:paraId="00000093">
      <w:pPr>
        <w:pStyle w:val="Heading3"/>
        <w:rPr/>
      </w:pPr>
      <w:r w:rsidDel="00000000" w:rsidR="00000000" w:rsidRPr="00000000">
        <w:rPr>
          <w:color w:val="000000"/>
          <w:rtl w:val="0"/>
        </w:rPr>
        <w:t xml:space="preserve">Deliverables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Human Validation Dataset</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Error Analysis Report (six-category false-positive taxonomy)</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Updated Annotation Guideline</w:t>
      </w:r>
    </w:p>
    <w:p w:rsidR="00000000" w:rsidDel="00000000" w:rsidP="00000000" w:rsidRDefault="00000000" w:rsidRPr="00000000" w14:paraId="00000097">
      <w:pPr>
        <w:pStyle w:val="Heading2"/>
        <w:rPr/>
      </w:pPr>
      <w:r w:rsidDel="00000000" w:rsidR="00000000" w:rsidRPr="00000000">
        <w:rPr>
          <w:color w:val="000000"/>
          <w:rtl w:val="0"/>
        </w:rPr>
        <w:t xml:space="preserve">WP3 – Rule Refinement and Baseline Improvement</w:t>
      </w:r>
      <w:r w:rsidDel="00000000" w:rsidR="00000000" w:rsidRPr="00000000">
        <w:rPr>
          <w:rtl w:val="0"/>
        </w:rPr>
      </w:r>
    </w:p>
    <w:p w:rsidR="00000000" w:rsidDel="00000000" w:rsidP="00000000" w:rsidRDefault="00000000" w:rsidRPr="00000000" w14:paraId="00000098">
      <w:pPr>
        <w:pStyle w:val="Heading3"/>
        <w:rPr>
          <w:b w:val="0"/>
          <w:bCs w:val="0"/>
          <w:i w:val="0"/>
          <w:iCs w:val="0"/>
        </w:rPr>
      </w:pPr>
      <w:r w:rsidDel="00000000" w:rsidR="00000000" w:rsidRPr="00000000">
        <w:rPr>
          <w:color w:val="000000"/>
          <w:rtl w:val="0"/>
        </w:rPr>
        <w:t xml:space="preserve">Objective: </w:t>
      </w:r>
      <w:r w:rsidDel="00000000" w:rsidR="00000000" w:rsidRPr="00000000">
        <w:rPr>
          <w:b w:val="0"/>
          <w:bCs w:val="0"/>
          <w:rtl w:val="0"/>
        </w:rPr>
        <w:t xml:space="preserve">I</w:t>
      </w:r>
      <w:r w:rsidDel="00000000" w:rsidR="00000000" w:rsidRPr="00000000">
        <w:rPr>
          <w:b w:val="0"/>
          <w:bCs w:val="0"/>
          <w:i w:val="0"/>
          <w:iCs w:val="0"/>
          <w:rtl w:val="0"/>
        </w:rPr>
        <w:t xml:space="preserve">mprove precision by analysing rule-based extraction errors.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b w:val="0"/>
          <w:bCs w:val="0"/>
          <w:i w:val="0"/>
          <w:iCs w:val="0"/>
          <w:highlight w:val="green"/>
          <w:rtl w:val="0"/>
        </w:rPr>
        <w:t xml:space="preserve">Each error category identified in WP2.5 was translated into a targeted refinement of the engine, producing versions v2 and v3. The refinements fall into four groups.</w:t>
      </w:r>
      <w:r w:rsidDel="00000000" w:rsidR="00000000" w:rsidRPr="00000000">
        <w:rPr>
          <w:rtl w:val="0"/>
        </w:rPr>
      </w:r>
    </w:p>
    <w:p w:rsidR="00000000" w:rsidDel="00000000" w:rsidP="00000000" w:rsidRDefault="00000000" w:rsidRPr="00000000" w14:paraId="0000009B">
      <w:pPr>
        <w:rPr/>
      </w:pPr>
      <w:r w:rsidDel="00000000" w:rsidR="00000000" w:rsidRPr="00000000">
        <w:rPr>
          <w:b w:val="0"/>
          <w:bCs w:val="0"/>
          <w:i w:val="0"/>
          <w:iCs w:val="0"/>
          <w:highlight w:val="green"/>
          <w:rtl w:val="0"/>
        </w:rPr>
        <w:t xml:space="preserve">First, detection was decoupled from the environmental topic gate. The v1 system behaved as an environmental-claim extractor: a sentence could only enter the pipeline through an environmental keyword, so purely Social or Governance claims were invisible and the ESG-type label was, in effect, hard-coded. In v2 the topic gate was widened to the union of Environmental, Social, and Governance vocabularies, and the ESG type became a genuinely classified attribute of each claim rather than a precondition for finding it.</w:t>
      </w:r>
      <w:r w:rsidDel="00000000" w:rsidR="00000000" w:rsidRPr="00000000">
        <w:rPr>
          <w:rtl w:val="0"/>
        </w:rPr>
      </w:r>
    </w:p>
    <w:p w:rsidR="00000000" w:rsidDel="00000000" w:rsidP="00000000" w:rsidRDefault="00000000" w:rsidRPr="00000000" w14:paraId="0000009C">
      <w:pPr>
        <w:rPr/>
      </w:pPr>
      <w:r w:rsidDel="00000000" w:rsidR="00000000" w:rsidRPr="00000000">
        <w:rPr>
          <w:b w:val="0"/>
          <w:bCs w:val="0"/>
          <w:i w:val="0"/>
          <w:iCs w:val="0"/>
          <w:highlight w:val="green"/>
          <w:rtl w:val="0"/>
        </w:rPr>
        <w:t xml:space="preserve">Second, dedicated non-claim filters were added for each false-positive category identified in WP2.5. Methodology and definition filters remove sentences that describe how figures are calculated or defined ("is calculated using", "is defined as", "in accordance with"), together with sentences describing mandatory ESRS reporting elements such as materiality assessments, impact-risk-opportunity (IRO) statements, and disclosure structure. General-statement filters remove opinion sentences such as "is critical" or "global challenge", and are applied only when the sentence contains no hard quantity. Risk-description filters remove sentences that describe risks or dependencies ("vulnerable to", "dependent on", "physical risk"). Governance filters remove committee, board, and remuneration sentences that carry no quantity. Activity filters remove reports of events and memberships ("co-hosted", "signed the", "member of"). Finally, navigation filters remove cross-references and running headers ("see page", "the table below").</w:t>
      </w:r>
      <w:r w:rsidDel="00000000" w:rsidR="00000000" w:rsidRPr="00000000">
        <w:rPr>
          <w:rtl w:val="0"/>
        </w:rPr>
      </w:r>
    </w:p>
    <w:p w:rsidR="00000000" w:rsidDel="00000000" w:rsidP="00000000" w:rsidRDefault="00000000" w:rsidRPr="00000000" w14:paraId="0000009D">
      <w:pPr>
        <w:rPr/>
      </w:pPr>
      <w:r w:rsidDel="00000000" w:rsidR="00000000" w:rsidRPr="00000000">
        <w:rPr>
          <w:b w:val="0"/>
          <w:bCs w:val="0"/>
          <w:i w:val="0"/>
          <w:iCs w:val="0"/>
          <w:highlight w:val="green"/>
          <w:rtl w:val="0"/>
        </w:rPr>
        <w:t xml:space="preserve">Third, ESG-type assignment was made context-aware. Governance terms (board, committee, audit, remuneration) are given priority in ambiguous cases, so that a committee-centred sentence is labelled Governance even when it mentions "sustainability". Lexical ambiguity is handled explicitly: "environment" in "a safe working environment" is treated as Social rather than Environmental, and "nature" in "the nature of our business" is excluded from the environmental count. Both are cases in which a keyword’s surface form diverges from its meaning.</w:t>
      </w:r>
      <w:r w:rsidDel="00000000" w:rsidR="00000000" w:rsidRPr="00000000">
        <w:rPr>
          <w:rtl w:val="0"/>
        </w:rPr>
      </w:r>
    </w:p>
    <w:p w:rsidR="00000000" w:rsidDel="00000000" w:rsidP="00000000" w:rsidRDefault="00000000" w:rsidRPr="00000000" w14:paraId="0000009E">
      <w:pPr>
        <w:rPr/>
      </w:pPr>
      <w:r w:rsidDel="00000000" w:rsidR="00000000" w:rsidRPr="00000000">
        <w:rPr>
          <w:b w:val="0"/>
          <w:bCs w:val="0"/>
          <w:i w:val="0"/>
          <w:iCs w:val="0"/>
          <w:highlight w:val="green"/>
          <w:rtl w:val="0"/>
        </w:rPr>
        <w:t xml:space="preserve">Fourth, the evidence and risk columns were made independent of the claim type. In v1, evidence was derived mechanically from claim type (Strong yields Yes, Vague yields No), which validation showed to be wrong in both directions: a vague claim can cite a credible external standard, and a forward-looking promise can carry a projected number that is not evidence of anything achieved. In v3, evidence is assessed on its own signals: an achieved quantity yields Yes; a citation of a standard or assurance provider, or a merely projected quantity, yields Partial; neither yields No. The risk signal is then derived from the claim-type and evidence combination, whose high-risk cells (unsubstantiated future promises and unsupported vague claims) are precisely the greenwashing indicators of interest.</w:t>
      </w:r>
      <w:r w:rsidDel="00000000" w:rsidR="00000000" w:rsidRPr="00000000">
        <w:rPr>
          <w:rtl w:val="0"/>
        </w:rPr>
      </w:r>
    </w:p>
    <w:p w:rsidR="00000000" w:rsidDel="00000000" w:rsidP="00000000" w:rsidRDefault="00000000" w:rsidRPr="00000000" w14:paraId="0000009F">
      <w:pPr>
        <w:rPr>
          <w:b w:val="0"/>
          <w:bCs w:val="0"/>
          <w:i w:val="0"/>
          <w:iCs w:val="0"/>
          <w:highlight w:val="green"/>
        </w:rPr>
      </w:pPr>
      <w:r w:rsidDel="00000000" w:rsidR="00000000" w:rsidRPr="00000000">
        <w:rPr>
          <w:b w:val="0"/>
          <w:bCs w:val="0"/>
          <w:i w:val="0"/>
          <w:iCs w:val="0"/>
          <w:highlight w:val="green"/>
          <w:rtl w:val="0"/>
        </w:rPr>
        <w:t xml:space="preserve">In its final version, the engine processes the two evaluation reports (119 pages, approximately 2,850 sentences) into 582 candidate claims (416 for Unilever and 166 for Keurig Dr Pepper), each carrying its page number, ESG type, claim type, evidence level, and risk signal, with per-filter drop counts reported for transparency.</w:t>
      </w:r>
    </w:p>
    <w:p w:rsidR="00000000" w:rsidDel="00000000" w:rsidP="00000000" w:rsidRDefault="00000000" w:rsidRPr="00000000" w14:paraId="000000A0">
      <w:pPr>
        <w:rPr>
          <w:highlight w:val="green"/>
        </w:rPr>
      </w:pPr>
      <w:r w:rsidDel="00000000" w:rsidR="00000000" w:rsidRPr="00000000">
        <w:rPr>
          <w:highlight w:val="green"/>
          <w:rtl w:val="0"/>
        </w:rPr>
        <w:t xml:space="preserve">These refinements transformed the initial environmental claim extractor into a general ESG claim extraction engine capable of detecting Environmental, Social, and Governance claims while substantially reducing systematic false positives. </w:t>
      </w:r>
    </w:p>
    <w:p w:rsidR="00000000" w:rsidDel="00000000" w:rsidP="00000000" w:rsidRDefault="00000000" w:rsidRPr="00000000" w14:paraId="000000A1">
      <w:pPr>
        <w:pStyle w:val="Heading3"/>
        <w:rPr/>
      </w:pPr>
      <w:r w:rsidDel="00000000" w:rsidR="00000000" w:rsidRPr="00000000">
        <w:rPr>
          <w:color w:val="000000"/>
          <w:rtl w:val="0"/>
        </w:rPr>
        <w:t xml:space="preserve">Deliverables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GreenBERT Rule Engine v2/v3</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Refined candidate claim dataset (582 claims across two reports)</w:t>
      </w:r>
    </w:p>
    <w:p w:rsidR="00000000" w:rsidDel="00000000" w:rsidP="00000000" w:rsidRDefault="00000000" w:rsidRPr="00000000" w14:paraId="000000A4">
      <w:pPr>
        <w:pStyle w:val="Heading2"/>
        <w:rPr/>
      </w:pPr>
      <w:r w:rsidDel="00000000" w:rsidR="00000000" w:rsidRPr="00000000">
        <w:rPr>
          <w:color w:val="000000"/>
          <w:rtl w:val="0"/>
        </w:rPr>
        <w:t xml:space="preserve">WP4 – Baseline Evaluation and Performance Analysis</w:t>
      </w:r>
      <w:r w:rsidDel="00000000" w:rsidR="00000000" w:rsidRPr="00000000">
        <w:rPr>
          <w:rtl w:val="0"/>
        </w:rPr>
      </w:r>
    </w:p>
    <w:p w:rsidR="00000000" w:rsidDel="00000000" w:rsidP="00000000" w:rsidRDefault="00000000" w:rsidRPr="00000000" w14:paraId="000000A5">
      <w:pPr>
        <w:pStyle w:val="Heading3"/>
        <w:rPr/>
      </w:pPr>
      <w:r w:rsidDel="00000000" w:rsidR="00000000" w:rsidRPr="00000000">
        <w:rPr>
          <w:color w:val="000000"/>
          <w:rtl w:val="0"/>
        </w:rPr>
        <w:t xml:space="preserve">Objective</w:t>
      </w:r>
      <w:r w:rsidDel="00000000" w:rsidR="00000000" w:rsidRPr="00000000">
        <w:rPr>
          <w:rtl w:val="0"/>
        </w:rPr>
      </w:r>
    </w:p>
    <w:p w:rsidR="00000000" w:rsidDel="00000000" w:rsidP="00000000" w:rsidRDefault="00000000" w:rsidRPr="00000000" w14:paraId="000000A6">
      <w:pPr>
        <w:rPr>
          <w:b w:val="0"/>
          <w:bCs w:val="0"/>
          <w:i w:val="0"/>
          <w:iCs w:val="0"/>
        </w:rPr>
      </w:pPr>
      <w:r w:rsidDel="00000000" w:rsidR="00000000" w:rsidRPr="00000000">
        <w:rPr>
          <w:b w:val="0"/>
          <w:bCs w:val="0"/>
          <w:i w:val="0"/>
          <w:iCs w:val="0"/>
          <w:rtl w:val="0"/>
        </w:rPr>
        <w:t xml:space="preserve">To systematically evaluate the performance of the rule-based ESG claim extraction engine against a human-annotated benchmark dataset and identify the remaining limitations before introducing transformer-based models.</w:t>
      </w:r>
    </w:p>
    <w:p w:rsidR="00000000" w:rsidDel="00000000" w:rsidP="00000000" w:rsidRDefault="00000000" w:rsidRPr="00000000" w14:paraId="000000A7">
      <w:pPr>
        <w:rPr/>
      </w:pPr>
      <w:sdt>
        <w:sdtPr>
          <w:id w:val="148057305"/>
          <w:tag w:val="goog_rdk_10"/>
        </w:sdtPr>
        <w:sdtContent>
          <w:commentRangeStart w:id="1"/>
        </w:sdtContent>
      </w:sdt>
      <w:sdt>
        <w:sdtPr>
          <w:id w:val="-567201213"/>
          <w:tag w:val="goog_rdk_11"/>
        </w:sdtPr>
        <w:sdtContent>
          <w:commentRangeStart w:id="2"/>
        </w:sdtContent>
      </w:sdt>
      <w:r w:rsidDel="00000000" w:rsidR="00000000" w:rsidRPr="00000000">
        <w:rPr>
          <w:rtl w:val="0"/>
        </w:rPr>
      </w:r>
    </w:p>
    <w:p w:rsidR="00000000" w:rsidDel="00000000" w:rsidP="00000000" w:rsidRDefault="00000000" w:rsidRPr="00000000" w14:paraId="000000A8">
      <w:pPr>
        <w:pStyle w:val="Heading3"/>
        <w:rPr/>
      </w:pPr>
      <w:commentRangeEnd w:id="1"/>
      <w:r w:rsidDel="00000000" w:rsidR="00000000" w:rsidRPr="00000000">
        <w:commentReference w:id="1"/>
      </w:r>
      <w:commentRangeEnd w:id="2"/>
      <w:r w:rsidDel="00000000" w:rsidR="00000000" w:rsidRPr="00000000">
        <w:commentReference w:id="2"/>
      </w:r>
      <w:r w:rsidDel="00000000" w:rsidR="00000000" w:rsidRPr="00000000">
        <w:rPr>
          <w:color w:val="000000"/>
          <w:rtl w:val="0"/>
        </w:rPr>
        <w:t xml:space="preserve">Activity 4.1 – Benchmark Dataset Construction</w:t>
      </w:r>
      <w:r w:rsidDel="00000000" w:rsidR="00000000" w:rsidRPr="00000000">
        <w:rPr>
          <w:rtl w:val="0"/>
        </w:rPr>
      </w:r>
    </w:p>
    <w:p w:rsidR="00000000" w:rsidDel="00000000" w:rsidP="00000000" w:rsidRDefault="00000000" w:rsidRPr="00000000" w14:paraId="000000A9">
      <w:pPr>
        <w:rPr/>
      </w:pPr>
      <w:r w:rsidDel="00000000" w:rsidR="00000000" w:rsidRPr="00000000">
        <w:rPr>
          <w:highlight w:val="yellow"/>
          <w:rtl w:val="0"/>
        </w:rPr>
        <w:t xml:space="preserve">The current human benchmark consists of 26 dual-annotated candidates from two reports. This is sufficient for development but too small for statistically robust evaluation; the benchmark is therefore being expanded to 100 human-labelled claims, sampled across different companies, sectors, and ESG types, using the same two-annotator protocol and guideline from WP1.5. All evaluation figures below that depend on the 26-claim sample are provisional and will be recomputed on the full benchmark.</w:t>
      </w:r>
      <w:r w:rsidDel="00000000" w:rsidR="00000000" w:rsidRPr="00000000">
        <w:rPr>
          <w:rtl w:val="0"/>
        </w:rPr>
      </w:r>
    </w:p>
    <w:p w:rsidR="00000000" w:rsidDel="00000000" w:rsidP="00000000" w:rsidRDefault="00000000" w:rsidRPr="00000000" w14:paraId="000000AA">
      <w:pPr>
        <w:pStyle w:val="Heading3"/>
        <w:rPr/>
      </w:pPr>
      <w:r w:rsidDel="00000000" w:rsidR="00000000" w:rsidRPr="00000000">
        <w:rPr>
          <w:color w:val="000000"/>
          <w:rtl w:val="0"/>
        </w:rPr>
        <w:t xml:space="preserve">Activity 4.2 – Claim Extraction Evaluation</w:t>
      </w: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On the development sample, the three engine versions were scored against the human labels. Precision rose from 42% (v1) to 69% (v2) and 92% (v3), while recall of genuine claims remained at 100% throughout; no true claim was lost to any filter. The gains therefore came entirely from removing false positives, not from discarding real content.</w:t>
      </w:r>
    </w:p>
    <w:p w:rsidR="00000000" w:rsidDel="00000000" w:rsidP="00000000" w:rsidRDefault="00000000" w:rsidRPr="00000000" w14:paraId="000000AC">
      <w:pPr>
        <w:spacing w:after="240" w:before="240" w:lineRule="auto"/>
        <w:rPr/>
      </w:pPr>
      <w:r w:rsidDel="00000000" w:rsidR="00000000" w:rsidRPr="00000000">
        <w:rPr>
          <w:rtl w:val="0"/>
        </w:rPr>
        <w:t xml:space="preserve">Table 2. Per-iteration counts and accuracy on the 26-candidate human development sample.</w:t>
      </w:r>
    </w:p>
    <w:tbl>
      <w:tblPr>
        <w:tblStyle w:val="Table3"/>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1395"/>
        <w:gridCol w:w="900"/>
        <w:gridCol w:w="1170"/>
        <w:gridCol w:w="1350"/>
        <w:gridCol w:w="1380"/>
        <w:gridCol w:w="1530"/>
        <w:tblGridChange w:id="0">
          <w:tblGrid>
            <w:gridCol w:w="2400"/>
            <w:gridCol w:w="1395"/>
            <w:gridCol w:w="900"/>
            <w:gridCol w:w="1170"/>
            <w:gridCol w:w="1350"/>
            <w:gridCol w:w="1380"/>
            <w:gridCol w:w="1530"/>
          </w:tblGrid>
        </w:tblGridChange>
      </w:tblGrid>
      <w:tr>
        <w:trPr>
          <w:cantSplit w:val="0"/>
          <w:trHeight w:val="78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AD">
            <w:pPr>
              <w:widowControl w:val="0"/>
              <w:spacing w:after="0" w:line="276" w:lineRule="auto"/>
              <w:jc w:val="center"/>
              <w:rPr>
                <w:rFonts w:ascii="Arial" w:cs="Arial" w:eastAsia="Arial" w:hAnsi="Arial"/>
                <w:sz w:val="20"/>
                <w:szCs w:val="20"/>
              </w:rPr>
            </w:pPr>
            <w:r w:rsidDel="00000000" w:rsidR="00000000" w:rsidRPr="00000000">
              <w:rPr>
                <w:b w:val="1"/>
                <w:bCs w:val="1"/>
                <w:color w:val="ffffff"/>
                <w:rtl w:val="0"/>
              </w:rPr>
              <w:t xml:space="preserve">Version</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AE">
            <w:pPr>
              <w:widowControl w:val="0"/>
              <w:spacing w:after="0" w:line="276" w:lineRule="auto"/>
              <w:jc w:val="center"/>
              <w:rPr>
                <w:rFonts w:ascii="Arial" w:cs="Arial" w:eastAsia="Arial" w:hAnsi="Arial"/>
                <w:sz w:val="20"/>
                <w:szCs w:val="20"/>
              </w:rPr>
            </w:pPr>
            <w:r w:rsidDel="00000000" w:rsidR="00000000" w:rsidRPr="00000000">
              <w:rPr>
                <w:b w:val="1"/>
                <w:bCs w:val="1"/>
                <w:color w:val="ffffff"/>
                <w:rtl w:val="0"/>
              </w:rPr>
              <w:t xml:space="preserve">Candidates</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AF">
            <w:pPr>
              <w:widowControl w:val="0"/>
              <w:spacing w:after="0" w:line="276" w:lineRule="auto"/>
              <w:jc w:val="center"/>
              <w:rPr>
                <w:rFonts w:ascii="Arial" w:cs="Arial" w:eastAsia="Arial" w:hAnsi="Arial"/>
                <w:sz w:val="20"/>
                <w:szCs w:val="20"/>
              </w:rPr>
            </w:pPr>
            <w:r w:rsidDel="00000000" w:rsidR="00000000" w:rsidRPr="00000000">
              <w:rPr>
                <w:b w:val="1"/>
                <w:bCs w:val="1"/>
                <w:color w:val="ffffff"/>
                <w:rtl w:val="0"/>
              </w:rPr>
              <w:t xml:space="preserve">True claims</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B0">
            <w:pPr>
              <w:widowControl w:val="0"/>
              <w:spacing w:after="0" w:line="276" w:lineRule="auto"/>
              <w:jc w:val="center"/>
              <w:rPr>
                <w:rFonts w:ascii="Arial" w:cs="Arial" w:eastAsia="Arial" w:hAnsi="Arial"/>
                <w:sz w:val="20"/>
                <w:szCs w:val="20"/>
              </w:rPr>
            </w:pPr>
            <w:r w:rsidDel="00000000" w:rsidR="00000000" w:rsidRPr="00000000">
              <w:rPr>
                <w:b w:val="1"/>
                <w:bCs w:val="1"/>
                <w:color w:val="ffffff"/>
                <w:rtl w:val="0"/>
              </w:rPr>
              <w:t xml:space="preserve">False positives</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B1">
            <w:pPr>
              <w:widowControl w:val="0"/>
              <w:spacing w:after="0" w:line="276" w:lineRule="auto"/>
              <w:jc w:val="center"/>
              <w:rPr>
                <w:rFonts w:ascii="Arial" w:cs="Arial" w:eastAsia="Arial" w:hAnsi="Arial"/>
                <w:sz w:val="20"/>
                <w:szCs w:val="20"/>
              </w:rPr>
            </w:pPr>
            <w:r w:rsidDel="00000000" w:rsidR="00000000" w:rsidRPr="00000000">
              <w:rPr>
                <w:b w:val="1"/>
                <w:bCs w:val="1"/>
                <w:color w:val="ffffff"/>
                <w:rtl w:val="0"/>
              </w:rPr>
              <w:t xml:space="preserve">False negatives</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B2">
            <w:pPr>
              <w:widowControl w:val="0"/>
              <w:spacing w:after="0" w:line="276" w:lineRule="auto"/>
              <w:jc w:val="center"/>
              <w:rPr>
                <w:rFonts w:ascii="Arial" w:cs="Arial" w:eastAsia="Arial" w:hAnsi="Arial"/>
                <w:sz w:val="20"/>
                <w:szCs w:val="20"/>
              </w:rPr>
            </w:pPr>
            <w:r w:rsidDel="00000000" w:rsidR="00000000" w:rsidRPr="00000000">
              <w:rPr>
                <w:b w:val="1"/>
                <w:bCs w:val="1"/>
                <w:color w:val="ffffff"/>
                <w:rtl w:val="0"/>
              </w:rPr>
              <w:t xml:space="preserve">Precision</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B3">
            <w:pPr>
              <w:widowControl w:val="0"/>
              <w:spacing w:after="0" w:line="276" w:lineRule="auto"/>
              <w:jc w:val="center"/>
              <w:rPr>
                <w:rFonts w:ascii="Arial" w:cs="Arial" w:eastAsia="Arial" w:hAnsi="Arial"/>
                <w:sz w:val="20"/>
                <w:szCs w:val="20"/>
              </w:rPr>
            </w:pPr>
            <w:r w:rsidDel="00000000" w:rsidR="00000000" w:rsidRPr="00000000">
              <w:rPr>
                <w:b w:val="1"/>
                <w:bCs w:val="1"/>
                <w:color w:val="ffffff"/>
                <w:rtl w:val="0"/>
              </w:rPr>
              <w:t xml:space="preserve">Recall</w:t>
            </w:r>
            <w:r w:rsidDel="00000000" w:rsidR="00000000" w:rsidRPr="00000000">
              <w:rPr>
                <w:rtl w:val="0"/>
              </w:rPr>
            </w:r>
          </w:p>
        </w:tc>
      </w:tr>
      <w:tr>
        <w:trPr>
          <w:cantSplit w:val="0"/>
          <w:trHeight w:val="536.850585937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4">
            <w:pPr>
              <w:widowControl w:val="0"/>
              <w:spacing w:after="0" w:line="276" w:lineRule="auto"/>
              <w:rPr>
                <w:rFonts w:ascii="Arial" w:cs="Arial" w:eastAsia="Arial" w:hAnsi="Arial"/>
                <w:sz w:val="20"/>
                <w:szCs w:val="20"/>
              </w:rPr>
            </w:pPr>
            <w:r w:rsidDel="00000000" w:rsidR="00000000" w:rsidRPr="00000000">
              <w:rPr>
                <w:rtl w:val="0"/>
              </w:rPr>
              <w:t xml:space="preserve">v1 (topic + assertion gate)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5">
            <w:pPr>
              <w:widowControl w:val="0"/>
              <w:spacing w:after="0" w:line="276" w:lineRule="auto"/>
              <w:rPr>
                <w:rFonts w:ascii="Arial" w:cs="Arial" w:eastAsia="Arial" w:hAnsi="Arial"/>
                <w:sz w:val="20"/>
                <w:szCs w:val="20"/>
              </w:rPr>
            </w:pPr>
            <w:r w:rsidDel="00000000" w:rsidR="00000000" w:rsidRPr="00000000">
              <w:rPr>
                <w:rtl w:val="0"/>
              </w:rPr>
              <w:t xml:space="preserve">26</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6">
            <w:pPr>
              <w:widowControl w:val="0"/>
              <w:spacing w:after="0" w:line="276" w:lineRule="auto"/>
              <w:rPr>
                <w:rFonts w:ascii="Arial" w:cs="Arial" w:eastAsia="Arial" w:hAnsi="Arial"/>
                <w:sz w:val="20"/>
                <w:szCs w:val="20"/>
              </w:rPr>
            </w:pPr>
            <w:r w:rsidDel="00000000" w:rsidR="00000000" w:rsidRPr="00000000">
              <w:rPr>
                <w:rtl w:val="0"/>
              </w:rPr>
              <w:t xml:space="preserve">11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7">
            <w:pPr>
              <w:widowControl w:val="0"/>
              <w:spacing w:after="0" w:line="276" w:lineRule="auto"/>
              <w:rPr>
                <w:rFonts w:ascii="Arial" w:cs="Arial" w:eastAsia="Arial" w:hAnsi="Arial"/>
                <w:sz w:val="20"/>
                <w:szCs w:val="20"/>
              </w:rPr>
            </w:pPr>
            <w:r w:rsidDel="00000000" w:rsidR="00000000" w:rsidRPr="00000000">
              <w:rPr>
                <w:rtl w:val="0"/>
              </w:rPr>
              <w:t xml:space="preserve">15</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8">
            <w:pPr>
              <w:widowControl w:val="0"/>
              <w:spacing w:after="0" w:line="276" w:lineRule="auto"/>
              <w:rPr>
                <w:rFonts w:ascii="Arial" w:cs="Arial" w:eastAsia="Arial" w:hAnsi="Arial"/>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9">
            <w:pPr>
              <w:widowControl w:val="0"/>
              <w:spacing w:after="0" w:line="276" w:lineRule="auto"/>
              <w:jc w:val="right"/>
              <w:rPr>
                <w:rFonts w:ascii="Arial" w:cs="Arial" w:eastAsia="Arial" w:hAnsi="Arial"/>
                <w:sz w:val="20"/>
                <w:szCs w:val="20"/>
              </w:rPr>
            </w:pPr>
            <w:r w:rsidDel="00000000" w:rsidR="00000000" w:rsidRPr="00000000">
              <w:rPr>
                <w:rtl w:val="0"/>
              </w:rPr>
              <w:t xml:space="preserve">42%</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A">
            <w:pPr>
              <w:widowControl w:val="0"/>
              <w:spacing w:after="0" w:line="276" w:lineRule="auto"/>
              <w:jc w:val="right"/>
              <w:rPr>
                <w:rFonts w:ascii="Arial" w:cs="Arial" w:eastAsia="Arial" w:hAnsi="Arial"/>
                <w:sz w:val="20"/>
                <w:szCs w:val="20"/>
              </w:rPr>
            </w:pPr>
            <w:r w:rsidDel="00000000" w:rsidR="00000000" w:rsidRPr="00000000">
              <w:rPr>
                <w:rtl w:val="0"/>
              </w:rPr>
              <w:t xml:space="preserve">100%</w:t>
            </w:r>
            <w:r w:rsidDel="00000000" w:rsidR="00000000" w:rsidRPr="00000000">
              <w:rPr>
                <w:rtl w:val="0"/>
              </w:rPr>
            </w:r>
          </w:p>
        </w:tc>
      </w:tr>
      <w:tr>
        <w:trPr>
          <w:cantSplit w:val="0"/>
          <w:trHeight w:val="371.850585937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B">
            <w:pPr>
              <w:widowControl w:val="0"/>
              <w:spacing w:after="0" w:line="276" w:lineRule="auto"/>
              <w:rPr>
                <w:rFonts w:ascii="Arial" w:cs="Arial" w:eastAsia="Arial" w:hAnsi="Arial"/>
                <w:sz w:val="20"/>
                <w:szCs w:val="20"/>
              </w:rPr>
            </w:pPr>
            <w:r w:rsidDel="00000000" w:rsidR="00000000" w:rsidRPr="00000000">
              <w:rPr>
                <w:rtl w:val="0"/>
              </w:rPr>
              <w:t xml:space="preserve">v2 (+ non-claim filter taxonomy)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C">
            <w:pPr>
              <w:widowControl w:val="0"/>
              <w:spacing w:after="0" w:line="276" w:lineRule="auto"/>
              <w:rPr>
                <w:rFonts w:ascii="Arial" w:cs="Arial" w:eastAsia="Arial" w:hAnsi="Arial"/>
                <w:sz w:val="20"/>
                <w:szCs w:val="20"/>
              </w:rPr>
            </w:pPr>
            <w:r w:rsidDel="00000000" w:rsidR="00000000" w:rsidRPr="00000000">
              <w:rPr>
                <w:rtl w:val="0"/>
              </w:rPr>
              <w:t xml:space="preserve">16</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D">
            <w:pPr>
              <w:widowControl w:val="0"/>
              <w:spacing w:after="0" w:line="276" w:lineRule="auto"/>
              <w:rPr>
                <w:rFonts w:ascii="Arial" w:cs="Arial" w:eastAsia="Arial" w:hAnsi="Arial"/>
                <w:sz w:val="20"/>
                <w:szCs w:val="20"/>
              </w:rPr>
            </w:pPr>
            <w:r w:rsidDel="00000000" w:rsidR="00000000" w:rsidRPr="00000000">
              <w:rPr>
                <w:rtl w:val="0"/>
              </w:rPr>
              <w:t xml:space="preserve">11</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E">
            <w:pPr>
              <w:widowControl w:val="0"/>
              <w:spacing w:after="0" w:line="276" w:lineRule="auto"/>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F">
            <w:pPr>
              <w:widowControl w:val="0"/>
              <w:spacing w:after="0" w:line="276" w:lineRule="auto"/>
              <w:rPr>
                <w:rFonts w:ascii="Arial" w:cs="Arial" w:eastAsia="Arial" w:hAnsi="Arial"/>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0">
            <w:pPr>
              <w:widowControl w:val="0"/>
              <w:spacing w:after="0" w:line="276" w:lineRule="auto"/>
              <w:jc w:val="right"/>
              <w:rPr>
                <w:rFonts w:ascii="Arial" w:cs="Arial" w:eastAsia="Arial" w:hAnsi="Arial"/>
                <w:sz w:val="20"/>
                <w:szCs w:val="20"/>
              </w:rPr>
            </w:pPr>
            <w:r w:rsidDel="00000000" w:rsidR="00000000" w:rsidRPr="00000000">
              <w:rPr>
                <w:rtl w:val="0"/>
              </w:rPr>
              <w:t xml:space="preserve">69%</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1">
            <w:pPr>
              <w:widowControl w:val="0"/>
              <w:spacing w:after="0" w:line="276" w:lineRule="auto"/>
              <w:jc w:val="right"/>
              <w:rPr>
                <w:rFonts w:ascii="Arial" w:cs="Arial" w:eastAsia="Arial" w:hAnsi="Arial"/>
                <w:sz w:val="20"/>
                <w:szCs w:val="20"/>
              </w:rPr>
            </w:pPr>
            <w:r w:rsidDel="00000000" w:rsidR="00000000" w:rsidRPr="00000000">
              <w:rPr>
                <w:rtl w:val="0"/>
              </w:rPr>
              <w:t xml:space="preserve">100%</w:t>
            </w:r>
            <w:r w:rsidDel="00000000" w:rsidR="00000000" w:rsidRPr="00000000">
              <w:rPr>
                <w:rtl w:val="0"/>
              </w:rPr>
            </w:r>
          </w:p>
        </w:tc>
      </w:tr>
      <w:tr>
        <w:trPr>
          <w:cantSplit w:val="0"/>
          <w:trHeight w:val="506.8505859375" w:hRule="atLeast"/>
          <w:tblHeader w:val="0"/>
        </w:trPr>
        <w:tc>
          <w:tcPr>
            <w:tcBorders>
              <w:top w:color="cccccc" w:space="0" w:sz="6" w:val="single"/>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2">
            <w:pPr>
              <w:widowControl w:val="0"/>
              <w:spacing w:after="0" w:line="276" w:lineRule="auto"/>
              <w:rPr>
                <w:rFonts w:ascii="Arial" w:cs="Arial" w:eastAsia="Arial" w:hAnsi="Arial"/>
                <w:sz w:val="20"/>
                <w:szCs w:val="20"/>
              </w:rPr>
            </w:pPr>
            <w:r w:rsidDel="00000000" w:rsidR="00000000" w:rsidRPr="00000000">
              <w:rPr>
                <w:rtl w:val="0"/>
              </w:rPr>
              <w:t xml:space="preserve">v3 (+ governance and methodology filters)</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3">
            <w:pPr>
              <w:widowControl w:val="0"/>
              <w:spacing w:after="0" w:line="276" w:lineRule="auto"/>
              <w:rPr>
                <w:rFonts w:ascii="Arial" w:cs="Arial" w:eastAsia="Arial" w:hAnsi="Arial"/>
                <w:sz w:val="20"/>
                <w:szCs w:val="20"/>
              </w:rPr>
            </w:pPr>
            <w:r w:rsidDel="00000000" w:rsidR="00000000" w:rsidRPr="00000000">
              <w:rPr>
                <w:rtl w:val="0"/>
              </w:rPr>
              <w:t xml:space="preserve">12</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4">
            <w:pPr>
              <w:widowControl w:val="0"/>
              <w:spacing w:after="0" w:line="276" w:lineRule="auto"/>
              <w:rPr>
                <w:rFonts w:ascii="Arial" w:cs="Arial" w:eastAsia="Arial" w:hAnsi="Arial"/>
                <w:sz w:val="20"/>
                <w:szCs w:val="20"/>
              </w:rPr>
            </w:pPr>
            <w:r w:rsidDel="00000000" w:rsidR="00000000" w:rsidRPr="00000000">
              <w:rPr>
                <w:rtl w:val="0"/>
              </w:rPr>
              <w:t xml:space="preserve">11</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5">
            <w:pPr>
              <w:widowControl w:val="0"/>
              <w:spacing w:after="0" w:line="276" w:lineRule="auto"/>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6">
            <w:pPr>
              <w:widowControl w:val="0"/>
              <w:spacing w:after="0" w:line="276" w:lineRule="auto"/>
              <w:rPr>
                <w:rFonts w:ascii="Arial" w:cs="Arial" w:eastAsia="Arial" w:hAnsi="Arial"/>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7">
            <w:pPr>
              <w:widowControl w:val="0"/>
              <w:spacing w:after="0" w:line="276" w:lineRule="auto"/>
              <w:jc w:val="right"/>
              <w:rPr>
                <w:rFonts w:ascii="Arial" w:cs="Arial" w:eastAsia="Arial" w:hAnsi="Arial"/>
                <w:sz w:val="20"/>
                <w:szCs w:val="20"/>
              </w:rPr>
            </w:pPr>
            <w:r w:rsidDel="00000000" w:rsidR="00000000" w:rsidRPr="00000000">
              <w:rPr>
                <w:rtl w:val="0"/>
              </w:rPr>
              <w:t xml:space="preserve">92%</w:t>
            </w:r>
            <w:r w:rsidDel="00000000" w:rsidR="00000000" w:rsidRPr="00000000">
              <w:rPr>
                <w:rtl w:val="0"/>
              </w:rPr>
            </w:r>
          </w:p>
        </w:tc>
        <w:tc>
          <w:tcPr>
            <w:tcBorders>
              <w:top w:color="cccccc" w:space="0" w:sz="6" w:val="single"/>
              <w:left w:color="cccccc" w:space="0" w:sz="6" w:val="single"/>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8">
            <w:pPr>
              <w:widowControl w:val="0"/>
              <w:spacing w:after="0" w:line="276" w:lineRule="auto"/>
              <w:jc w:val="right"/>
              <w:rPr>
                <w:rFonts w:ascii="Arial" w:cs="Arial" w:eastAsia="Arial" w:hAnsi="Arial"/>
                <w:sz w:val="20"/>
                <w:szCs w:val="20"/>
              </w:rPr>
            </w:pPr>
            <w:r w:rsidDel="00000000" w:rsidR="00000000" w:rsidRPr="00000000">
              <w:rPr>
                <w:rtl w:val="0"/>
              </w:rPr>
              <w:t xml:space="preserve">100%</w:t>
            </w:r>
            <w:r w:rsidDel="00000000" w:rsidR="00000000" w:rsidRPr="00000000">
              <w:rPr>
                <w:rtl w:val="0"/>
              </w:rPr>
            </w:r>
          </w:p>
        </w:tc>
      </w:tr>
    </w:tbl>
    <w:p w:rsidR="00000000" w:rsidDel="00000000" w:rsidP="00000000" w:rsidRDefault="00000000" w:rsidRPr="00000000" w14:paraId="000000C9">
      <w:pPr>
        <w:spacing w:after="240" w:before="240" w:lineRule="auto"/>
        <w:rPr/>
      </w:pPr>
      <w:r w:rsidDel="00000000" w:rsidR="00000000" w:rsidRPr="00000000">
        <w:rPr>
          <w:rtl w:val="0"/>
        </w:rPr>
        <w:t xml:space="preserve">To verify that these gains generalize beyond the sample the filters were tuned on, the v3 engine's full output across both reports (582 candidates) was additionally assessed by an automated </w:t>
      </w:r>
      <w:sdt>
        <w:sdtPr>
          <w:id w:val="-496631188"/>
          <w:tag w:val="goog_rdk_12"/>
        </w:sdtPr>
        <w:sdtContent>
          <w:commentRangeStart w:id="3"/>
        </w:sdtContent>
      </w:sdt>
      <w:r w:rsidDel="00000000" w:rsidR="00000000" w:rsidRPr="00000000">
        <w:rPr>
          <w:rtl w:val="0"/>
        </w:rPr>
        <w:t xml:space="preserve">large-language-model auditor </w:t>
      </w:r>
      <w:commentRangeEnd w:id="3"/>
      <w:r w:rsidDel="00000000" w:rsidR="00000000" w:rsidRPr="00000000">
        <w:commentReference w:id="3"/>
      </w:r>
      <w:r w:rsidDel="00000000" w:rsidR="00000000" w:rsidRPr="00000000">
        <w:rPr>
          <w:rtl w:val="0"/>
        </w:rPr>
        <w:t xml:space="preserve">applying the same operational claim definition. This conservative full-corpus check reproduced the same monotonic improvement, with overall precision rising from 35% (v1) to 45% (v3) and from 40% to 48% on environmental claims. The automated auditor judged systematically more strictly than the human annotators, so its absolute figures are read as a lower bound. It also confirmed a report-type effect first noticed in WP1: precision is substantially higher on the narrative impact report (61%) than on the regulatory ESRS statement (38%), whose mandated methodology and governance disclosures are a structural source of false positives for lexical extraction.</w:t>
      </w:r>
    </w:p>
    <w:p w:rsidR="00000000" w:rsidDel="00000000" w:rsidP="00000000" w:rsidRDefault="00000000" w:rsidRPr="00000000" w14:paraId="000000CA">
      <w:pPr>
        <w:spacing w:after="240" w:before="240" w:lineRule="auto"/>
        <w:rPr/>
      </w:pPr>
      <w:r w:rsidDel="00000000" w:rsidR="00000000" w:rsidRPr="00000000">
        <w:rPr>
          <w:rtl w:val="0"/>
        </w:rPr>
        <w:t xml:space="preserve">Because the v3 filters had been tuned on the development sample, the 92% figure could not be taken as an estimate of general performance, and the benchmark was expanded to a manual review of 100 v3 candidates from the Unilever statement, carried out with the WP1.5 protocol and with page context permitted for ambiguous sentences. This independent review measured a precision of 67%. Re-audited under the guideline as finalised during the review, the same v3 output measured 33% on the automated auditor, and row-level agreement between the human labels and the auditor was 73%, with every disagreement being a candidate the human accepted and the auditor rejected. The review identified four systematic errors in v3: a default channel through which unmeasured non-claims were recorded as vague claims; numbers that were treated as evidence although they were methodological parameters or projected figures; table rows linearised into pseudo-sentences; and claims whose meaning spans several sentences (Activity 4.4 gives the full analysis). Three guideline rulings were codified from the disagreements: advocacy performed by the company is a claim of conduct, scenario descriptions and measurement-method sentences are not claims, and verifiable governance mechanisms such as remuneration linked to sustainability performance are Governance claims. One human error illustrates the value of page context: "Net zero CO2e achieved by approximately 2070" was labelled a claim, but the page shows it inside a table describing the IPCC SSP1-2.6 pathway, the world's trajectory under that scenario rather than Unilever's own target, which is 2039.</w:t>
      </w:r>
    </w:p>
    <w:p w:rsidR="00000000" w:rsidDel="00000000" w:rsidP="00000000" w:rsidRDefault="00000000" w:rsidRPr="00000000" w14:paraId="000000CB">
      <w:pPr>
        <w:spacing w:after="240" w:before="240" w:lineRule="auto"/>
        <w:rPr>
          <w:highlight w:val="yellow"/>
        </w:rPr>
      </w:pPr>
      <w:r w:rsidDel="00000000" w:rsidR="00000000" w:rsidRPr="00000000">
        <w:rPr>
          <w:highlight w:val="yellow"/>
          <w:rtl w:val="0"/>
        </w:rPr>
        <w:t xml:space="preserve">These findings motivated a fourth revision of the engine with two aims: to remove the identified false-positive families without discarding genuine claims, and to make the claims the engine discards visible so that recall could be measured rather than assumed. Six code changes were made, each mapped to an observed error. (i) A broken-sentence guard rejects candidates that start mid-sentence, have unbalanced parentheses, or contain no verb according to a part-of-speech tagger, which removes linearised table rows. (ii) A policy-content filter removes imperative policy principles and supplier requirements ("Reduce water usage...", "the policy sets out four principles suppliers are required to comply with") while keeping any bullet phrased as the company's own commitment. (iii) The ESRS impact, risk and opportunity register is recognised by its markers ("(OO)", "(VC)", "Negative Impact (") and climate-scenario narratives are removed with it. (iv) The methodology filter was extended to measurement descriptions and to internal self-reference ("these targets are in line with our Environmental Policy"), applied only when the alignment is the point of the sentence. (v) A softer activity filter removes tool usage and programme descriptions with no stated outcome, applied only when the sentence has neither a quantity nor a forward-looking target. (vi) A quantity in a parameter context no longer makes a claim Strong or counts as evidence, and the nouns target, goal, pledge and plan count as forward-looking only when the sentence contains no achievement verb, so that "we delivered on our target to collect and process more plastic than we sell" is an achieved result rather than a promise. In addition, the engine now writes every rejected sentence to a companion file together with the filter that rejected it. (vii) Section headers that PDF extraction glues onto the first sentence of a section ("METRICS AND TARGETS Targets We do not have formal targets on water withdrawal…") are stripped rather than filtered, since the sentence behind the header is usually a genuine claim; only a sentence that consists of nothing but header is rejected.</w:t>
      </w:r>
    </w:p>
    <w:p w:rsidR="00000000" w:rsidDel="00000000" w:rsidP="00000000" w:rsidRDefault="00000000" w:rsidRPr="00000000" w14:paraId="000000CC">
      <w:pPr>
        <w:spacing w:after="240" w:before="240" w:lineRule="auto"/>
        <w:rPr/>
      </w:pPr>
      <w:r w:rsidDel="00000000" w:rsidR="00000000" w:rsidRPr="00000000">
        <w:rPr>
          <w:rtl w:val="0"/>
        </w:rPr>
        <w:t xml:space="preserve">The precision changes removed 65 candidates from the Unilever output, all of them judged non-claims by the auditor and none an audited claim, so automated precision rose from 33% to 39% and the precision on the human-labelled candidates retained by each version rose from 63% to 72%. Recall was then measured for the first time through the rejected-sentence file. That file contains 1,767 unique sentences for the Unilever statement; a random sample of 100 was prepared for a blind human review under the WP1.5 protocol, with the rejection reasons held separately, and in parallel the</w:t>
      </w:r>
      <w:sdt>
        <w:sdtPr>
          <w:id w:val="21809613"/>
          <w:tag w:val="goog_rdk_13"/>
        </w:sdtPr>
        <w:sdtContent>
          <w:commentRangeStart w:id="4"/>
        </w:sdtContent>
      </w:sdt>
      <w:r w:rsidDel="00000000" w:rsidR="00000000" w:rsidRPr="00000000">
        <w:rPr>
          <w:rtl w:val="0"/>
        </w:rPr>
        <w:t xml:space="preserve"> full rejected set was audited automatically</w:t>
      </w:r>
      <w:commentRangeEnd w:id="4"/>
      <w:r w:rsidDel="00000000" w:rsidR="00000000" w:rsidRPr="00000000">
        <w:commentReference w:id="4"/>
      </w:r>
      <w:r w:rsidDel="00000000" w:rsidR="00000000" w:rsidRPr="00000000">
        <w:rPr>
          <w:rtl w:val="0"/>
        </w:rPr>
        <w:t xml:space="preserve"> with the same operational definition and the page-context rule, every flagged sentence being re-examined by two adversarial reviewers instructed to refute the flag. Of 194 flagged sentences, 149 survived both reviewers, 23 were contested and 22 refuted, and the 100-sentence random sample contained 6 confirmed misses, consistent with the full scan. Against the 137 audited claims the engine retained, recall was therefore 48%. Three quarters of the misses (113 of 149) were rejected at the detection gate itself: the sentence contained a genuine claim but none of the engine's action verbs, topic words or quantity units ("In 2025, we purchased more than 152 kilotonnes of recycled plastic"; "our Shakti programme supports over 200,000 women micro-entrepreneurs", which contains no environmental topic word because the gate vocabulary had grown from an environmental extractor). A further 14 misses were target and metric tables longer than the sentence-length limit, 8 were removed by the reference-density rule because years and scope numbers were counted as references, and 6 by page citations treated as navigation; 56 of the 149 misses were measurable Strong claims.</w:t>
      </w:r>
    </w:p>
    <w:p w:rsidR="00000000" w:rsidDel="00000000" w:rsidP="00000000" w:rsidRDefault="00000000" w:rsidRPr="00000000" w14:paraId="000000CD">
      <w:pPr>
        <w:spacing w:after="240" w:before="240" w:lineRule="auto"/>
        <w:rPr/>
      </w:pPr>
      <w:r w:rsidDel="00000000" w:rsidR="00000000" w:rsidRPr="00000000">
        <w:rPr>
          <w:rtl w:val="0"/>
        </w:rPr>
        <w:t xml:space="preserve">A recall revision followed: achievement and conduct verbs, social and governance topic terms and count units (kilotonnes, hectares, "14 countries") were added to the gate, years and single digits were excluded from the reference-density count, a page citation now counts as navigation only when the sentence asserts nothing, and the company's own site standards were removed from the policy filter. The first version of these changes recovered 75 of the 149 misses without losing any audited claim but admitted 273 new candidates of which only 66 were claims; scoring each added keyword by the claims and false positives it bought showed that bare verb stems were responsible ("purchase" matched the scope 3 category "purchased goods and services", "process" matched the noun), so the noisy stems were kept only in first-person or past-tense form. Finally, the claim and non-claim files of the final engine were both submitted to the automated auditor, so that every one of its 585 retained candidates carries a verdict (257 claims, 324 non-claims, 4 contested) and every rejected sentence has been screened for missed claims. Table 3 summarises the progression. The final engine is better than v3 on both measures at once: 44% precision and 73% recall, against 33% and an unmeasured recall for v3. Because the filters and vocabularies were designed from the categorised errors of the same audited rows, these figures are in-sample results; a fresh manual review of the final output under the same protocol is the next benchmark.</w:t>
      </w:r>
    </w:p>
    <w:p w:rsidR="00000000" w:rsidDel="00000000" w:rsidP="00000000" w:rsidRDefault="00000000" w:rsidRPr="00000000" w14:paraId="000000CE">
      <w:pPr>
        <w:spacing w:after="240" w:before="240" w:lineRule="auto"/>
        <w:rPr/>
      </w:pPr>
      <w:sdt>
        <w:sdtPr>
          <w:id w:val="-738982155"/>
          <w:tag w:val="goog_rdk_14"/>
        </w:sdtPr>
        <w:sdtContent>
          <w:commentRangeStart w:id="5"/>
        </w:sdtContent>
      </w:sdt>
      <w:r w:rsidDel="00000000" w:rsidR="00000000" w:rsidRPr="00000000">
        <w:rPr>
          <w:rtl w:val="0"/>
        </w:rPr>
        <w:t xml:space="preserve">Table 3. Precision and recall of the v3 and v4 engines on the Unilever sustainability statement.</w:t>
      </w:r>
      <w:commentRangeEnd w:id="5"/>
      <w:r w:rsidDel="00000000" w:rsidR="00000000" w:rsidRPr="00000000">
        <w:commentReference w:id="5"/>
      </w:r>
      <w:r w:rsidDel="00000000" w:rsidR="00000000" w:rsidRPr="00000000">
        <w:rPr>
          <w:rtl w:val="0"/>
        </w:rPr>
      </w:r>
    </w:p>
    <w:tbl>
      <w:tblPr>
        <w:tblStyle w:val="Table4"/>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1905"/>
        <w:gridCol w:w="2130"/>
        <w:gridCol w:w="2685"/>
        <w:tblGridChange w:id="0">
          <w:tblGrid>
            <w:gridCol w:w="3330"/>
            <w:gridCol w:w="1905"/>
            <w:gridCol w:w="2130"/>
            <w:gridCol w:w="2685"/>
          </w:tblGrid>
        </w:tblGridChange>
      </w:tblGrid>
      <w:tr>
        <w:trPr>
          <w:cantSplit w:val="0"/>
          <w:trHeight w:val="78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CF">
            <w:pPr>
              <w:widowControl w:val="0"/>
              <w:spacing w:after="0" w:line="276" w:lineRule="auto"/>
              <w:jc w:val="center"/>
              <w:rPr>
                <w:rFonts w:ascii="Arial" w:cs="Arial" w:eastAsia="Arial" w:hAnsi="Arial"/>
                <w:sz w:val="20"/>
                <w:szCs w:val="20"/>
              </w:rPr>
            </w:pPr>
            <w:r w:rsidDel="00000000" w:rsidR="00000000" w:rsidRPr="00000000">
              <w:rPr>
                <w:b w:val="1"/>
                <w:bCs w:val="1"/>
                <w:color w:val="ffffff"/>
                <w:rtl w:val="0"/>
              </w:rPr>
              <w:t xml:space="preserve">Measure</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D0">
            <w:pPr>
              <w:widowControl w:val="0"/>
              <w:spacing w:after="0" w:line="276" w:lineRule="auto"/>
              <w:jc w:val="center"/>
              <w:rPr>
                <w:rFonts w:ascii="Arial" w:cs="Arial" w:eastAsia="Arial" w:hAnsi="Arial"/>
                <w:sz w:val="20"/>
                <w:szCs w:val="20"/>
              </w:rPr>
            </w:pPr>
            <w:r w:rsidDel="00000000" w:rsidR="00000000" w:rsidRPr="00000000">
              <w:rPr>
                <w:b w:val="1"/>
                <w:bCs w:val="1"/>
                <w:color w:val="ffffff"/>
                <w:rtl w:val="0"/>
              </w:rPr>
              <w:t xml:space="preserve">v3</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D1">
            <w:pPr>
              <w:widowControl w:val="0"/>
              <w:spacing w:after="0" w:line="276" w:lineRule="auto"/>
              <w:jc w:val="center"/>
              <w:rPr>
                <w:rFonts w:ascii="Arial" w:cs="Arial" w:eastAsia="Arial" w:hAnsi="Arial"/>
                <w:sz w:val="20"/>
                <w:szCs w:val="20"/>
              </w:rPr>
            </w:pPr>
            <w:r w:rsidDel="00000000" w:rsidR="00000000" w:rsidRPr="00000000">
              <w:rPr>
                <w:b w:val="1"/>
                <w:bCs w:val="1"/>
                <w:color w:val="ffffff"/>
                <w:rtl w:val="0"/>
              </w:rPr>
              <w:t xml:space="preserve">v4 (precision revision)</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D2">
            <w:pPr>
              <w:widowControl w:val="0"/>
              <w:spacing w:after="0" w:line="276" w:lineRule="auto"/>
              <w:jc w:val="center"/>
              <w:rPr>
                <w:rFonts w:ascii="Arial" w:cs="Arial" w:eastAsia="Arial" w:hAnsi="Arial"/>
                <w:sz w:val="20"/>
                <w:szCs w:val="20"/>
              </w:rPr>
            </w:pPr>
            <w:r w:rsidDel="00000000" w:rsidR="00000000" w:rsidRPr="00000000">
              <w:rPr>
                <w:b w:val="1"/>
                <w:bCs w:val="1"/>
                <w:color w:val="ffffff"/>
                <w:rtl w:val="0"/>
              </w:rPr>
              <w:t xml:space="preserve">v4 final (recall revision)</w:t>
            </w:r>
            <w:r w:rsidDel="00000000" w:rsidR="00000000" w:rsidRPr="00000000">
              <w:rPr>
                <w:rtl w:val="0"/>
              </w:rPr>
            </w:r>
          </w:p>
        </w:tc>
      </w:tr>
      <w:tr>
        <w:trPr>
          <w:cantSplit w:val="0"/>
          <w:trHeight w:val="5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3">
            <w:pPr>
              <w:widowControl w:val="0"/>
              <w:spacing w:after="0" w:line="276" w:lineRule="auto"/>
              <w:rPr>
                <w:rFonts w:ascii="Arial" w:cs="Arial" w:eastAsia="Arial" w:hAnsi="Arial"/>
                <w:sz w:val="20"/>
                <w:szCs w:val="20"/>
              </w:rPr>
            </w:pPr>
            <w:r w:rsidDel="00000000" w:rsidR="00000000" w:rsidRPr="00000000">
              <w:rPr>
                <w:rtl w:val="0"/>
              </w:rPr>
              <w:t xml:space="preserve">Candidates extracted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4">
            <w:pPr>
              <w:widowControl w:val="0"/>
              <w:spacing w:after="0" w:line="276" w:lineRule="auto"/>
              <w:rPr>
                <w:rFonts w:ascii="Arial" w:cs="Arial" w:eastAsia="Arial" w:hAnsi="Arial"/>
                <w:sz w:val="20"/>
                <w:szCs w:val="20"/>
              </w:rPr>
            </w:pPr>
            <w:r w:rsidDel="00000000" w:rsidR="00000000" w:rsidRPr="00000000">
              <w:rPr>
                <w:rtl w:val="0"/>
              </w:rPr>
              <w:t xml:space="preserve">416</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5">
            <w:pPr>
              <w:widowControl w:val="0"/>
              <w:spacing w:after="0" w:line="276" w:lineRule="auto"/>
              <w:rPr>
                <w:rFonts w:ascii="Arial" w:cs="Arial" w:eastAsia="Arial" w:hAnsi="Arial"/>
                <w:sz w:val="20"/>
                <w:szCs w:val="20"/>
              </w:rPr>
            </w:pPr>
            <w:r w:rsidDel="00000000" w:rsidR="00000000" w:rsidRPr="00000000">
              <w:rPr>
                <w:rtl w:val="0"/>
              </w:rPr>
              <w:t xml:space="preserve">351</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6">
            <w:pPr>
              <w:widowControl w:val="0"/>
              <w:spacing w:after="0" w:line="276" w:lineRule="auto"/>
              <w:rPr>
                <w:rFonts w:ascii="Arial" w:cs="Arial" w:eastAsia="Arial" w:hAnsi="Arial"/>
                <w:sz w:val="20"/>
                <w:szCs w:val="20"/>
              </w:rPr>
            </w:pPr>
            <w:r w:rsidDel="00000000" w:rsidR="00000000" w:rsidRPr="00000000">
              <w:rPr>
                <w:rtl w:val="0"/>
              </w:rPr>
              <w:t xml:space="preserve">585</w:t>
            </w:r>
            <w:r w:rsidDel="00000000" w:rsidR="00000000" w:rsidRPr="00000000">
              <w:rPr>
                <w:rtl w:val="0"/>
              </w:rPr>
            </w:r>
          </w:p>
        </w:tc>
      </w:tr>
      <w:tr>
        <w:trPr>
          <w:cantSplit w:val="0"/>
          <w:trHeight w:val="480"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7">
            <w:pPr>
              <w:widowControl w:val="0"/>
              <w:spacing w:after="0" w:line="276" w:lineRule="auto"/>
              <w:rPr>
                <w:rFonts w:ascii="Arial" w:cs="Arial" w:eastAsia="Arial" w:hAnsi="Arial"/>
                <w:sz w:val="20"/>
                <w:szCs w:val="20"/>
              </w:rPr>
            </w:pPr>
            <w:r w:rsidDel="00000000" w:rsidR="00000000" w:rsidRPr="00000000">
              <w:rPr>
                <w:rtl w:val="0"/>
              </w:rPr>
              <w:t xml:space="preserve">Precision, human-labelled candidates retained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8">
            <w:pPr>
              <w:widowControl w:val="0"/>
              <w:spacing w:after="0" w:line="276" w:lineRule="auto"/>
              <w:rPr>
                <w:rFonts w:ascii="Arial" w:cs="Arial" w:eastAsia="Arial" w:hAnsi="Arial"/>
                <w:sz w:val="20"/>
                <w:szCs w:val="20"/>
              </w:rPr>
            </w:pPr>
            <w:r w:rsidDel="00000000" w:rsidR="00000000" w:rsidRPr="00000000">
              <w:rPr>
                <w:rtl w:val="0"/>
              </w:rPr>
              <w:t xml:space="preserve">63%</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9">
            <w:pPr>
              <w:widowControl w:val="0"/>
              <w:spacing w:after="0" w:line="276" w:lineRule="auto"/>
              <w:rPr>
                <w:rFonts w:ascii="Arial" w:cs="Arial" w:eastAsia="Arial" w:hAnsi="Arial"/>
                <w:sz w:val="20"/>
                <w:szCs w:val="20"/>
              </w:rPr>
            </w:pPr>
            <w:r w:rsidDel="00000000" w:rsidR="00000000" w:rsidRPr="00000000">
              <w:rPr>
                <w:rtl w:val="0"/>
              </w:rPr>
              <w:t xml:space="preserve">72%</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A">
            <w:pPr>
              <w:widowControl w:val="0"/>
              <w:spacing w:after="0" w:line="276" w:lineRule="auto"/>
              <w:rPr>
                <w:rFonts w:ascii="Arial" w:cs="Arial" w:eastAsia="Arial" w:hAnsi="Arial"/>
                <w:sz w:val="20"/>
                <w:szCs w:val="20"/>
              </w:rPr>
            </w:pPr>
            <w:r w:rsidDel="00000000" w:rsidR="00000000" w:rsidRPr="00000000">
              <w:rPr>
                <w:rtl w:val="0"/>
              </w:rPr>
              <w:t xml:space="preserve">72%</w:t>
            </w:r>
            <w:r w:rsidDel="00000000" w:rsidR="00000000" w:rsidRPr="00000000">
              <w:rPr>
                <w:rtl w:val="0"/>
              </w:rPr>
            </w:r>
          </w:p>
        </w:tc>
      </w:tr>
      <w:tr>
        <w:trPr>
          <w:cantSplit w:val="0"/>
          <w:trHeight w:val="431.850585937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B">
            <w:pPr>
              <w:widowControl w:val="0"/>
              <w:spacing w:after="0" w:line="276" w:lineRule="auto"/>
              <w:rPr>
                <w:rFonts w:ascii="Arial" w:cs="Arial" w:eastAsia="Arial" w:hAnsi="Arial"/>
                <w:sz w:val="20"/>
                <w:szCs w:val="20"/>
              </w:rPr>
            </w:pPr>
            <w:r w:rsidDel="00000000" w:rsidR="00000000" w:rsidRPr="00000000">
              <w:rPr>
                <w:rtl w:val="0"/>
              </w:rPr>
              <w:t xml:space="preserve">Precision, automated audit of all candidates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C">
            <w:pPr>
              <w:widowControl w:val="0"/>
              <w:spacing w:after="0" w:line="276" w:lineRule="auto"/>
              <w:rPr>
                <w:rFonts w:ascii="Arial" w:cs="Arial" w:eastAsia="Arial" w:hAnsi="Arial"/>
                <w:sz w:val="20"/>
                <w:szCs w:val="20"/>
              </w:rPr>
            </w:pPr>
            <w:r w:rsidDel="00000000" w:rsidR="00000000" w:rsidRPr="00000000">
              <w:rPr>
                <w:rtl w:val="0"/>
              </w:rPr>
              <w:t xml:space="preserve">33%</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D">
            <w:pPr>
              <w:widowControl w:val="0"/>
              <w:spacing w:after="0" w:line="276" w:lineRule="auto"/>
              <w:rPr>
                <w:rFonts w:ascii="Arial" w:cs="Arial" w:eastAsia="Arial" w:hAnsi="Arial"/>
                <w:sz w:val="20"/>
                <w:szCs w:val="20"/>
              </w:rPr>
            </w:pPr>
            <w:r w:rsidDel="00000000" w:rsidR="00000000" w:rsidRPr="00000000">
              <w:rPr>
                <w:rtl w:val="0"/>
              </w:rPr>
              <w:t xml:space="preserve">39%</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E">
            <w:pPr>
              <w:widowControl w:val="0"/>
              <w:spacing w:after="0" w:line="276" w:lineRule="auto"/>
              <w:rPr>
                <w:rFonts w:ascii="Arial" w:cs="Arial" w:eastAsia="Arial" w:hAnsi="Arial"/>
                <w:sz w:val="20"/>
                <w:szCs w:val="20"/>
              </w:rPr>
            </w:pPr>
            <w:r w:rsidDel="00000000" w:rsidR="00000000" w:rsidRPr="00000000">
              <w:rPr>
                <w:rtl w:val="0"/>
              </w:rPr>
              <w:t xml:space="preserve">44%</w:t>
            </w:r>
            <w:r w:rsidDel="00000000" w:rsidR="00000000" w:rsidRPr="00000000">
              <w:rPr>
                <w:rtl w:val="0"/>
              </w:rPr>
            </w:r>
          </w:p>
        </w:tc>
      </w:tr>
      <w:tr>
        <w:trPr>
          <w:cantSplit w:val="0"/>
          <w:trHeight w:val="300"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F">
            <w:pPr>
              <w:widowControl w:val="0"/>
              <w:spacing w:after="0" w:line="276" w:lineRule="auto"/>
              <w:rPr>
                <w:rFonts w:ascii="Arial" w:cs="Arial" w:eastAsia="Arial" w:hAnsi="Arial"/>
                <w:sz w:val="20"/>
                <w:szCs w:val="20"/>
              </w:rPr>
            </w:pPr>
            <w:r w:rsidDel="00000000" w:rsidR="00000000" w:rsidRPr="00000000">
              <w:rPr>
                <w:rtl w:val="0"/>
              </w:rPr>
              <w:t xml:space="preserve">Recall, against all audited genuine claims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0">
            <w:pPr>
              <w:widowControl w:val="0"/>
              <w:spacing w:after="0" w:line="276" w:lineRule="auto"/>
              <w:rPr>
                <w:rFonts w:ascii="Arial" w:cs="Arial" w:eastAsia="Arial" w:hAnsi="Arial"/>
                <w:sz w:val="20"/>
                <w:szCs w:val="20"/>
              </w:rPr>
            </w:pPr>
            <w:r w:rsidDel="00000000" w:rsidR="00000000" w:rsidRPr="00000000">
              <w:rPr>
                <w:rtl w:val="0"/>
              </w:rPr>
              <w:t xml:space="preserve">not measurable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1">
            <w:pPr>
              <w:widowControl w:val="0"/>
              <w:spacing w:after="0" w:line="276" w:lineRule="auto"/>
              <w:rPr>
                <w:rFonts w:ascii="Arial" w:cs="Arial" w:eastAsia="Arial" w:hAnsi="Arial"/>
                <w:sz w:val="20"/>
                <w:szCs w:val="20"/>
              </w:rPr>
            </w:pPr>
            <w:r w:rsidDel="00000000" w:rsidR="00000000" w:rsidRPr="00000000">
              <w:rPr>
                <w:rtl w:val="0"/>
              </w:rPr>
              <w:t xml:space="preserve">48%</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2">
            <w:pPr>
              <w:widowControl w:val="0"/>
              <w:spacing w:after="0" w:line="276" w:lineRule="auto"/>
              <w:rPr>
                <w:rFonts w:ascii="Arial" w:cs="Arial" w:eastAsia="Arial" w:hAnsi="Arial"/>
                <w:sz w:val="20"/>
                <w:szCs w:val="20"/>
              </w:rPr>
            </w:pPr>
            <w:r w:rsidDel="00000000" w:rsidR="00000000" w:rsidRPr="00000000">
              <w:rPr>
                <w:rtl w:val="0"/>
              </w:rPr>
              <w:t xml:space="preserve">73%</w:t>
            </w:r>
            <w:r w:rsidDel="00000000" w:rsidR="00000000" w:rsidRPr="00000000">
              <w:rPr>
                <w:rtl w:val="0"/>
              </w:rPr>
            </w:r>
          </w:p>
        </w:tc>
      </w:tr>
      <w:tr>
        <w:trPr>
          <w:cantSplit w:val="0"/>
          <w:trHeight w:val="285" w:hRule="atLeast"/>
          <w:tblHeader w:val="0"/>
        </w:trPr>
        <w:tc>
          <w:tcPr>
            <w:tcBorders>
              <w:top w:color="cccccc" w:space="0" w:sz="6" w:val="single"/>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3">
            <w:pPr>
              <w:widowControl w:val="0"/>
              <w:spacing w:after="0" w:line="276" w:lineRule="auto"/>
              <w:rPr>
                <w:rFonts w:ascii="Arial" w:cs="Arial" w:eastAsia="Arial" w:hAnsi="Arial"/>
                <w:sz w:val="20"/>
                <w:szCs w:val="20"/>
              </w:rPr>
            </w:pPr>
            <w:r w:rsidDel="00000000" w:rsidR="00000000" w:rsidRPr="00000000">
              <w:rPr>
                <w:rtl w:val="0"/>
              </w:rPr>
              <w:t xml:space="preserve">Candidate split E / S / G</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4">
            <w:pPr>
              <w:widowControl w:val="0"/>
              <w:spacing w:after="0" w:line="276" w:lineRule="auto"/>
              <w:rPr>
                <w:rFonts w:ascii="Arial" w:cs="Arial" w:eastAsia="Arial" w:hAnsi="Arial"/>
                <w:sz w:val="20"/>
                <w:szCs w:val="20"/>
              </w:rPr>
            </w:pPr>
            <w:r w:rsidDel="00000000" w:rsidR="00000000" w:rsidRPr="00000000">
              <w:rPr>
                <w:rtl w:val="0"/>
              </w:rPr>
              <w:t xml:space="preserve">380 / 26 / 10</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5">
            <w:pPr>
              <w:widowControl w:val="0"/>
              <w:spacing w:after="0" w:line="276" w:lineRule="auto"/>
              <w:rPr>
                <w:rFonts w:ascii="Arial" w:cs="Arial" w:eastAsia="Arial" w:hAnsi="Arial"/>
                <w:sz w:val="20"/>
                <w:szCs w:val="20"/>
              </w:rPr>
            </w:pPr>
            <w:r w:rsidDel="00000000" w:rsidR="00000000" w:rsidRPr="00000000">
              <w:rPr>
                <w:rtl w:val="0"/>
              </w:rPr>
              <w:t xml:space="preserve">318 / 22 / 11</w:t>
            </w:r>
            <w:r w:rsidDel="00000000" w:rsidR="00000000" w:rsidRPr="00000000">
              <w:rPr>
                <w:rtl w:val="0"/>
              </w:rPr>
            </w:r>
          </w:p>
        </w:tc>
        <w:tc>
          <w:tcPr>
            <w:tcBorders>
              <w:top w:color="cccccc" w:space="0" w:sz="6" w:val="single"/>
              <w:left w:color="cccccc" w:space="0" w:sz="6" w:val="single"/>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6">
            <w:pPr>
              <w:widowControl w:val="0"/>
              <w:spacing w:after="0" w:line="276" w:lineRule="auto"/>
              <w:rPr>
                <w:rFonts w:ascii="Arial" w:cs="Arial" w:eastAsia="Arial" w:hAnsi="Arial"/>
                <w:sz w:val="20"/>
                <w:szCs w:val="20"/>
              </w:rPr>
            </w:pPr>
            <w:r w:rsidDel="00000000" w:rsidR="00000000" w:rsidRPr="00000000">
              <w:rPr>
                <w:rtl w:val="0"/>
              </w:rPr>
              <w:t xml:space="preserve">308 / 182 / 95</w:t>
            </w:r>
            <w:r w:rsidDel="00000000" w:rsidR="00000000" w:rsidRPr="00000000">
              <w:rPr>
                <w:rtl w:val="0"/>
              </w:rPr>
            </w:r>
          </w:p>
        </w:tc>
      </w:tr>
    </w:tbl>
    <w:p w:rsidR="00000000" w:rsidDel="00000000" w:rsidP="00000000" w:rsidRDefault="00000000" w:rsidRPr="00000000" w14:paraId="000000E7">
      <w:pPr>
        <w:pStyle w:val="Heading3"/>
        <w:rPr/>
      </w:pPr>
      <w:r w:rsidDel="00000000" w:rsidR="00000000" w:rsidRPr="00000000">
        <w:rPr>
          <w:color w:val="000000"/>
          <w:rtl w:val="0"/>
        </w:rPr>
        <w:t xml:space="preserve">Activity 4.3 – ESG Type Classification Evaluation</w:t>
      </w:r>
      <w:r w:rsidDel="00000000" w:rsidR="00000000" w:rsidRPr="00000000">
        <w:rPr>
          <w:rtl w:val="0"/>
        </w:rPr>
      </w:r>
    </w:p>
    <w:p w:rsidR="00000000" w:rsidDel="00000000" w:rsidP="00000000" w:rsidRDefault="00000000" w:rsidRPr="00000000" w14:paraId="000000E8">
      <w:pPr>
        <w:rPr/>
      </w:pPr>
      <w:r w:rsidDel="00000000" w:rsidR="00000000" w:rsidRPr="00000000">
        <w:rPr>
          <w:highlight w:val="yellow"/>
          <w:rtl w:val="0"/>
        </w:rPr>
        <w:t xml:space="preserve">A confusion-matrix evaluation of the E/S/G type assignment (true type versus predicted type) will be computed on the expanded 100-claim benchmark, where each candidate’s true ESG type is part of the human annotation.</w:t>
      </w:r>
      <w:r w:rsidDel="00000000" w:rsidR="00000000" w:rsidRPr="00000000">
        <w:rPr>
          <w:rtl w:val="0"/>
        </w:rPr>
      </w:r>
    </w:p>
    <w:p w:rsidR="00000000" w:rsidDel="00000000" w:rsidP="00000000" w:rsidRDefault="00000000" w:rsidRPr="00000000" w14:paraId="000000E9">
      <w:pPr>
        <w:pStyle w:val="Heading3"/>
        <w:rPr>
          <w:color w:val="000000"/>
        </w:rPr>
      </w:pPr>
      <w:sdt>
        <w:sdtPr>
          <w:id w:val="1367540502"/>
          <w:tag w:val="goog_rdk_15"/>
        </w:sdtPr>
        <w:sdtContent>
          <w:commentRangeStart w:id="6"/>
        </w:sdtContent>
      </w:sdt>
      <w:r w:rsidDel="00000000" w:rsidR="00000000" w:rsidRPr="00000000">
        <w:rPr>
          <w:color w:val="000000"/>
          <w:rtl w:val="0"/>
        </w:rPr>
        <w:t xml:space="preserve">Activity 4.4 – Error Analysis</w:t>
      </w:r>
    </w:p>
    <w:p w:rsidR="00000000" w:rsidDel="00000000" w:rsidP="00000000" w:rsidRDefault="00000000" w:rsidRPr="00000000" w14:paraId="000000EA">
      <w:pPr>
        <w:spacing w:after="240" w:before="240" w:lineRule="auto"/>
        <w:rPr/>
      </w:pPr>
      <w:r w:rsidDel="00000000" w:rsidR="00000000" w:rsidRPr="00000000">
        <w:rPr>
          <w:rtl w:val="0"/>
        </w:rPr>
        <w:t xml:space="preserve">The full-corpus audit also categorized every remaining false positive of the final engine version, yielding the following distribution: reporting methodology and definitions, approximately 42%; general advocacy and opinion statements, approximately 21%; activity and membership reports, approximately 14%; risk and dependency descriptions, approximately 10%; residual governance role descriptions, approximately 9%; navigation fragments and other, approximately 4%. Methodology sentences remain the dominant error source even after filtering: they are the hardest class to remove lexically, because the same verbs and vocabulary appear both in genuine performance statements and in descriptions of how figures are computed.</w:t>
      </w:r>
    </w:p>
    <w:p w:rsidR="00000000" w:rsidDel="00000000" w:rsidP="00000000" w:rsidRDefault="00000000" w:rsidRPr="00000000" w14:paraId="000000EB">
      <w:pPr>
        <w:spacing w:after="240" w:before="240" w:lineRule="auto"/>
        <w:rPr/>
      </w:pPr>
      <w:r w:rsidDel="00000000" w:rsidR="00000000" w:rsidRPr="00000000">
        <w:rPr>
          <w:rtl w:val="0"/>
        </w:rPr>
        <w:t xml:space="preserve">This first distribution was measured across both evaluation reports under the original annotation guideline, whose error taxonomy had six categories. The 100-candidate review refined that guideline, and the refined taxonomy separates policy bullets, anaphoric fragments and table fragments into categories of their own. When the v3 output for the Unilever statement was re-audited under the finalised guideline, its 279 false positives were distributed as follows: reporting methodology and definitions 28%; activity and tool-usage reports 22%; risk and scenario descriptions 15%; policy-principle bullets 10%; general advocacy and opinion 9%; anaphoric fragments 5%; table fragments 4%; governance role descriptions 4%; other 3%. The fall in the methodology share from 42% to 28% reflects the new categories rather than a change in the engine. Methodology remains the largest single source of error under both taxonomies, for the same reason as before.</w:t>
      </w:r>
    </w:p>
    <w:p w:rsidR="00000000" w:rsidDel="00000000" w:rsidP="00000000" w:rsidRDefault="00000000" w:rsidRPr="00000000" w14:paraId="000000EC">
      <w:pPr>
        <w:spacing w:after="240" w:before="240" w:lineRule="auto"/>
        <w:rPr/>
      </w:pPr>
      <w:r w:rsidDel="00000000" w:rsidR="00000000" w:rsidRPr="00000000">
        <w:rPr>
          <w:rtl w:val="0"/>
        </w:rPr>
        <w:t xml:space="preserve">The refined audit also exposed two structural patterns that the category counts do not show. The combination of an Environmental type, a Vague claim type and no evidence acted as a default channel for false positives: any sentence that passed the topic and assertion gate without a quantity or a future marker received exactly this label, so methodology descriptions, definitions and general statements were recorded as vague claims. The cell held 136 of the 416 v3 candidates and 76% of it was non-claims, yet it also contained the unmeasured commitments that greenwashing detection most needs to keep, such as "we are committed to a sustainable future". The cell where the greenwashing signal is strongest is therefore also the cell where lexical extraction is least reliable, and it cannot be discarded, only separated. Secondly, a number inside a sentence is not the same thing as evidence for a claim: in candidates labelled Strong a quantity was always present, but it was often a methodological parameter (a site-selection radius of 1 km, a measurement-method share of 78%), a figure attached to an unrelated topic, or the projected size of a promise, and 43% of the Strong class was non-claims. The v4 revision reduced the false-positive share of the default channel to 63% and of the Strong class to 37%. Type assignment was comparatively reliable throughout: on the audited genuine claims the engine's E/S/G label agreed with the auditor in 90% of cases, and the human annotator's own disagreements were concentrated in social claims (human rights, Indigenous peoples' rights) labelled Environmental by association with the word sustainability.</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rPr/>
      </w:pPr>
      <w:r w:rsidDel="00000000" w:rsidR="00000000" w:rsidRPr="00000000">
        <w:rPr>
          <w:color w:val="000000"/>
          <w:rtl w:val="0"/>
        </w:rPr>
        <w:t xml:space="preserve">Activity 4.5 – </w:t>
      </w:r>
      <w:sdt>
        <w:sdtPr>
          <w:id w:val="1372123762"/>
          <w:tag w:val="goog_rdk_16"/>
        </w:sdtPr>
        <w:sdtContent>
          <w:commentRangeStart w:id="7"/>
        </w:sdtContent>
      </w:sdt>
      <w:r w:rsidDel="00000000" w:rsidR="00000000" w:rsidRPr="00000000">
        <w:rPr>
          <w:color w:val="000000"/>
          <w:rtl w:val="0"/>
        </w:rPr>
        <w:t xml:space="preserve">Rule Improvement Assessment</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EF">
      <w:pPr>
        <w:rPr/>
      </w:pPr>
      <w:sdt>
        <w:sdtPr>
          <w:id w:val="457848344"/>
          <w:tag w:val="goog_rdk_17"/>
        </w:sdtPr>
        <w:sdtContent>
          <w:r w:rsidDel="00000000" w:rsidR="00000000" w:rsidRPr="00000000">
            <w:rPr>
              <w:rFonts w:ascii="Cardo" w:cs="Cardo" w:eastAsia="Cardo" w:hAnsi="Cardo"/>
              <w:highlight w:val="green"/>
              <w:rtl w:val="0"/>
            </w:rPr>
            <w:t xml:space="preserve">The iterative refinement loop is summarized as: v1 (topic + assertion) → observed false positives: methodology, governance, advocacy → non-claim filter taxonomy added → v2 → residual errors: governance role descriptions, mandatory ESRS reporting elements → dedicated governance and methodology filters added → v3. Each version was designed to remove the specific error categories observed in the previous one, and the paired human and automated evaluation in Activity 4.2 quantifies the gain of each step.</w:t>
          </w:r>
        </w:sdtContent>
      </w:sdt>
      <w:r w:rsidDel="00000000" w:rsidR="00000000" w:rsidRPr="00000000">
        <w:rPr>
          <w:rtl w:val="0"/>
        </w:rPr>
      </w:r>
    </w:p>
    <w:p w:rsidR="00000000" w:rsidDel="00000000" w:rsidP="00000000" w:rsidRDefault="00000000" w:rsidRPr="00000000" w14:paraId="000000F0">
      <w:pPr>
        <w:pStyle w:val="Heading3"/>
        <w:rPr/>
      </w:pPr>
      <w:r w:rsidDel="00000000" w:rsidR="00000000" w:rsidRPr="00000000">
        <w:rPr>
          <w:color w:val="000000"/>
          <w:rtl w:val="0"/>
        </w:rPr>
        <w:t xml:space="preserve">Activity 4.6 – Baseline Limit Analysis</w:t>
      </w:r>
      <w:r w:rsidDel="00000000" w:rsidR="00000000" w:rsidRPr="00000000">
        <w:rPr>
          <w:rtl w:val="0"/>
        </w:rPr>
      </w:r>
    </w:p>
    <w:p w:rsidR="00000000" w:rsidDel="00000000" w:rsidP="00000000" w:rsidRDefault="00000000" w:rsidRPr="00000000" w14:paraId="000000F1">
      <w:pPr>
        <w:rPr>
          <w:highlight w:val="green"/>
        </w:rPr>
      </w:pPr>
      <w:r w:rsidDel="00000000" w:rsidR="00000000" w:rsidRPr="00000000">
        <w:rPr>
          <w:highlight w:val="green"/>
          <w:rtl w:val="0"/>
        </w:rPr>
        <w:t xml:space="preserve">The remaining errors are concentrated precisely where claim status depends on meaning rather than surface form, and they define the boundary of what lexical rules can achieve. Four semantic failure modes recur. First, assertion versus description: the same verb can report an operation or claim an achievement ("we source ingredients from sectors vulnerable to climate change" versus "we sourced 95% deforestation-free"), and "set targets" describes a process while containing the future marker "target". Second, achieved versus projected quantities: "an additional 55 million gallons per year by 2030" is the size of a promise, not evidence of a result, yet lexically it is indistinguishable from a performance figure. Third, lexical ambiguity beyond the hand-coded cases ("nature of our business", "working environment"). Fourth, mixed sentences that interleave genuine claims with process language ("we continue to deliver underlying reductions…"), which cannot be phrase-filtered without sacrificing recall. These systematic residuals, rather than any shortage of filter engineering, constitute the scientific motivation for the transformer-based claim analysis of WP5: the discrimination still missing is semantic, which is exactly what contextual language models provide.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F2">
      <w:pPr>
        <w:rPr>
          <w:highlight w:val="green"/>
        </w:rPr>
      </w:pPr>
      <w:r w:rsidDel="00000000" w:rsidR="00000000" w:rsidRPr="00000000">
        <w:rPr>
          <w:rtl w:val="0"/>
        </w:rPr>
      </w:r>
    </w:p>
    <w:p w:rsidR="00000000" w:rsidDel="00000000" w:rsidP="00000000" w:rsidRDefault="00000000" w:rsidRPr="00000000" w14:paraId="000000F3">
      <w:pPr>
        <w:rPr>
          <w:highlight w:val="green"/>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WP5’e başlamadan Architecture Figure ekleyelim. </w:t>
      </w:r>
    </w:p>
    <w:p w:rsidR="00000000" w:rsidDel="00000000" w:rsidP="00000000" w:rsidRDefault="00000000" w:rsidRPr="00000000" w14:paraId="000000F5">
      <w:pPr>
        <w:rPr/>
      </w:pPr>
      <w:r w:rsidDel="00000000" w:rsidR="00000000" w:rsidRPr="00000000">
        <w:rPr>
          <w:rtl w:val="0"/>
        </w:rPr>
        <w:t xml:space="preserve">PDF Reports</w:t>
      </w:r>
    </w:p>
    <w:p w:rsidR="00000000" w:rsidDel="00000000" w:rsidP="00000000" w:rsidRDefault="00000000" w:rsidRPr="00000000" w14:paraId="000000F6">
      <w:pPr>
        <w:rPr/>
      </w:pPr>
      <w:r w:rsidDel="00000000" w:rsidR="00000000" w:rsidRPr="00000000">
        <w:rPr>
          <w:rtl w:val="0"/>
        </w:rPr>
        <w:t xml:space="preserve">│</w:t>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t xml:space="preserve">PDF Parser</w:t>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t xml:space="preserve">▼</w:t>
      </w:r>
    </w:p>
    <w:p w:rsidR="00000000" w:rsidDel="00000000" w:rsidP="00000000" w:rsidRDefault="00000000" w:rsidRPr="00000000" w14:paraId="000000FB">
      <w:pPr>
        <w:rPr/>
      </w:pPr>
      <w:r w:rsidDel="00000000" w:rsidR="00000000" w:rsidRPr="00000000">
        <w:rPr>
          <w:rtl w:val="0"/>
        </w:rPr>
        <w:t xml:space="preserve">Sentence Extraction</w:t>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t xml:space="preserve">Rule Engine (WP2)</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t xml:space="preserve">Human Validation (WP2.5)</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t xml:space="preserve">▼</w:t>
      </w:r>
    </w:p>
    <w:p w:rsidR="00000000" w:rsidDel="00000000" w:rsidP="00000000" w:rsidRDefault="00000000" w:rsidRPr="00000000" w14:paraId="00000106">
      <w:pPr>
        <w:rPr/>
      </w:pPr>
      <w:r w:rsidDel="00000000" w:rsidR="00000000" w:rsidRPr="00000000">
        <w:rPr>
          <w:rtl w:val="0"/>
        </w:rPr>
        <w:t xml:space="preserve">Rule Refinement (WP3)</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t xml:space="preserve">Evaluation (WP4)</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t xml:space="preserve">▼</w:t>
      </w:r>
    </w:p>
    <w:p w:rsidR="00000000" w:rsidDel="00000000" w:rsidP="00000000" w:rsidRDefault="00000000" w:rsidRPr="00000000" w14:paraId="0000010E">
      <w:pPr>
        <w:rPr/>
      </w:pPr>
      <w:r w:rsidDel="00000000" w:rsidR="00000000" w:rsidRPr="00000000">
        <w:rPr>
          <w:rtl w:val="0"/>
        </w:rPr>
        <w:t xml:space="preserve">Transformer Verification (WP5)</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t xml:space="preserve">Greenwashing Detection (WP6)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sectPr>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mre Atlıer Olca" w:id="0" w:date="2026-09-16T20:48:51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mutlaka diyagram haline getirelim.</w:t>
      </w:r>
    </w:p>
  </w:comment>
  <w:comment w:author="Emre Atlıer Olca" w:id="5" w:date="2026-09-08T12:26:22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audit değerleri mi bunlar? Ground Truth LLM mi yani?</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Bizim kararlaştırdığımız deney bunun tersiydi:  Human → ground truth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daha sonra:</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 Engine vs Human</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 ileride: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 vs Human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olacaktı.</w:t>
      </w:r>
    </w:p>
  </w:comment>
  <w:comment w:author="Emre Atlıer Olca" w:id="6" w:date="2026-09-01T10:54:42Z">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v4 güncellemesi sonrası bu alt başlıkların üzerinden geçelim. Düzenleme gerekebilir.</w:t>
      </w:r>
    </w:p>
  </w:comment>
  <w:comment w:author="Emre Atlıer Olca" w:id="3" w:date="2026-09-08T12:24:28Z">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 aşamada LLM yok ki?</w:t>
      </w:r>
    </w:p>
  </w:comment>
  <w:comment w:author="Emre Atlıer Olca" w:id="1" w:date="2026-07-09T16:19:04Z">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Aşağıdaki adımları gösteren flowchart şeklinde bir diyagram koyalım. Aşağıdaki adımlarla olabilir.</w:t>
      </w:r>
    </w:p>
  </w:comment>
  <w:comment w:author="Emre Atlıer Olca" w:id="2" w:date="2026-07-09T16:19:15Z">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 Dataset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 Engine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Prediction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Precision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Recall</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F1</w:t>
      </w:r>
    </w:p>
  </w:comment>
  <w:comment w:author="Emre Atlıer Olca" w:id="4" w:date="2026-09-08T12:24:11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 ile mi alakalı?</w:t>
      </w:r>
    </w:p>
  </w:comment>
  <w:comment w:author="Emre Atlıer Olca" w:id="7" w:date="2026-07-09T16:18:00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Bunu bir diyagrama çevirelim.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15" w15:done="0"/>
  <w15:commentEx w15:paraId="00000121" w15:done="0"/>
  <w15:commentEx w15:paraId="00000122" w15:done="0"/>
  <w15:commentEx w15:paraId="00000123" w15:done="0"/>
  <w15:commentEx w15:paraId="00000124" w15:done="0"/>
  <w15:commentEx w15:paraId="00000133" w15:paraIdParent="00000124" w15:done="0"/>
  <w15:commentEx w15:paraId="00000134" w15:done="0"/>
  <w15:commentEx w15:paraId="0000013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000000"/>
      <w:sz w:val="24"/>
      <w:szCs w:val="24"/>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000000"/>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msHlVQg+GEb10SIfibgkaela8A==">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