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GLD — SPDR Gold ETF (Linear Position)</w:t>
      </w:r>
    </w:p>
    <w:p/>
    <w:p>
      <w:pPr>
        <w:pStyle w:val="Heading2"/>
      </w:pPr>
      <w:r>
        <w:t>Instrument Description</w:t>
      </w:r>
    </w:p>
    <w:p/>
    <w:p>
      <w:r>
        <w:t>Long position in the SPDR Gold Shares ETF (ticker: GLD), providing commodity exposure to physical gold. Priced via daily mark-to-market using log-returns.</w:t>
      </w:r>
    </w:p>
    <w:p/>
    <w:p>
      <w:pPr>
        <w:pStyle w:val="Heading2"/>
      </w:pPr>
      <w:r>
        <w:t>Position Parameters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Ticker</w:t>
            </w:r>
          </w:p>
        </w:tc>
        <w:tc>
          <w:tcPr>
            <w:tcW w:type="dxa" w:w="4680"/>
          </w:tcPr>
          <w:p>
            <w:r>
              <w:t>GLD</w:t>
            </w:r>
          </w:p>
        </w:tc>
      </w:tr>
      <w:tr>
        <w:tc>
          <w:tcPr>
            <w:tcW w:type="dxa" w:w="4680"/>
          </w:tcPr>
          <w:p>
            <w:r>
              <w:t>Portfolio weight</w:t>
            </w:r>
          </w:p>
        </w:tc>
        <w:tc>
          <w:tcPr>
            <w:tcW w:type="dxa" w:w="4680"/>
          </w:tcPr>
          <w:p>
            <w:r>
              <w:t>25% (w = 1/4)</w:t>
            </w:r>
          </w:p>
        </w:tc>
      </w:tr>
      <w:tr>
        <w:tc>
          <w:tcPr>
            <w:tcW w:type="dxa" w:w="4680"/>
          </w:tcPr>
          <w:p>
            <w:r>
              <w:t>Notional</w:t>
            </w:r>
          </w:p>
        </w:tc>
        <w:tc>
          <w:tcPr>
            <w:tcW w:type="dxa" w:w="4680"/>
          </w:tcPr>
          <w:p>
            <w:r>
              <w:t>250,000 (= 1,000,000 × ¼)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Yahoo Finance daily close</w:t>
            </w:r>
          </w:p>
        </w:tc>
      </w:tr>
      <w:tr>
        <w:tc>
          <w:tcPr>
            <w:tcW w:type="dxa" w:w="4680"/>
          </w:tcPr>
          <w:p>
            <w:r>
              <w:t>Date range</w:t>
            </w:r>
          </w:p>
        </w:tc>
        <w:tc>
          <w:tcPr>
            <w:tcW w:type="dxa" w:w="4680"/>
          </w:tcPr>
          <w:p>
            <w:r>
              <w:t>2006-01-01 → 2024-12-31</w:t>
            </w:r>
          </w:p>
        </w:tc>
      </w:tr>
      <w:tr>
        <w:tc>
          <w:tcPr>
            <w:tcW w:type="dxa" w:w="4680"/>
          </w:tcPr>
          <w:p>
            <w:r>
              <w:t>Risk Factor</w:t>
            </w:r>
          </w:p>
        </w:tc>
        <w:tc>
          <w:tcPr>
            <w:tcW w:type="dxa" w:w="4680"/>
          </w:tcPr>
          <w:p>
            <w:r>
              <w:t>Symbol</w:t>
            </w:r>
          </w:p>
        </w:tc>
      </w:tr>
      <w:tr>
        <w:tc>
          <w:tcPr>
            <w:tcW w:type="dxa" w:w="4680"/>
          </w:tcPr>
          <w:p>
            <w:r>
              <w:t>GLD log-return</w:t>
            </w:r>
          </w:p>
        </w:tc>
        <w:tc>
          <w:tcPr>
            <w:tcW w:type="dxa" w:w="4680"/>
          </w:tcPr>
          <w:p>
            <w:r>
              <w:t>r_t</w:t>
            </w:r>
          </w:p>
        </w:tc>
      </w:tr>
    </w:tbl>
    <w:p/>
    <w:p>
      <w:pPr>
        <w:pStyle w:val="Heading2"/>
      </w:pPr>
      <w:r>
        <w:t>Pricing Formula</w:t>
      </w:r>
    </w:p>
    <w:p/>
    <w:p>
      <w:r>
        <w:t>Daily P&amp;L under the log-return approximation (Irle Eq. 10):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V_t^{\text{GLD}} = V_0 \cdot w_{\text{GLD}} \cdot r_t^{\text{GLD}}</w:t>
      </w:r>
    </w:p>
    <w:p/>
    <w:p>
      <w:r>
        <w:t>where</w:t>
      </w:r>
    </w:p>
    <w:p/>
    <w:p>
      <w:pPr>
        <w:spacing w:before="80" w:after="80"/>
        <w:jc w:val="center"/>
      </w:pPr>
      <w:r>
        <w:rPr>
          <w:i/>
          <w:sz w:val="20"/>
        </w:rPr>
        <w:t>r_t^{\text{GLD}} = \ln\frac{S_t^{\text{GLD}}}{S_{t-1}^{\text{GLD}}}</w:t>
      </w:r>
    </w:p>
    <w:p/>
    <w:p>
      <w:pPr>
        <w:pStyle w:val="Heading2"/>
      </w:pPr>
      <w:r>
        <w:t>Risk Factors</w:t>
      </w:r>
    </w:p>
    <w:p/>
    <w:p/>
    <w:p>
      <w:pPr>
        <w:pStyle w:val="Heading2"/>
      </w:pPr>
      <w:r>
        <w:t>Assumptions</w:t>
      </w:r>
    </w:p>
    <w:p/>
    <w:p>
      <w:pPr>
        <w:pStyle w:val="ListBullet"/>
      </w:pPr>
      <w:r>
        <w:t>GLD tracks the spot gold price with a small expense ratio (0.40% p.a.); not modelled separately</w:t>
      </w:r>
    </w:p>
    <w:p>
      <w:pPr>
        <w:pStyle w:val="ListBullet"/>
      </w:pPr>
      <w:r>
        <w:t>USD-denominated; no FX conversion required</w:t>
      </w:r>
    </w:p>
    <w:p>
      <w:pPr>
        <w:pStyle w:val="ListBullet"/>
      </w:pPr>
      <w:r>
        <w:t>No storage cost modelling at portfolio level</w:t>
      </w:r>
    </w:p>
    <w:p/>
    <w:p>
      <w:pPr>
        <w:pStyle w:val="Heading2"/>
      </w:pPr>
      <w:r>
        <w:t>Code Location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src/data/compute_pnl.py — compute_total_pnl()</w:t>
        <w:br/>
        <w:t>w = pd.Series(weights_aligned)[log_returns.columns].values</w:t>
        <w:br/>
        <w:t>linear_pnl = pd.Series(V0 * log_returns.dot(w), ...)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src/data/config.py</w:t>
        <w:br/>
        <w:t>TICKERS = {"GLD": "SPDR Gold ETF (Commodity)", ...}</w:t>
        <w:br/>
        <w:t>WEIGHTS_DICT = {"GLD": 1/4, ...}</w:t>
      </w:r>
    </w:p>
    <w:p/>
    <w:p>
      <w:pPr>
        <w:pStyle w:val="Heading2"/>
      </w:pPr>
      <w:r>
        <w:t>Example</w:t>
      </w:r>
    </w:p>
    <w:p/>
    <w:p>
      <w:r>
        <w:t>If gold rises 2% in a day:</w:t>
      </w:r>
    </w:p>
    <w:p>
      <w:pPr>
        <w:spacing w:before="80" w:after="80"/>
        <w:jc w:val="center"/>
      </w:pPr>
      <w:r>
        <w:rPr>
          <w:i/>
          <w:sz w:val="20"/>
        </w:rPr>
        <w:t>\Delta V = \$1{,}000{,}000 \times 0.25 \times 0.02 = \$5{,}000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